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04F6C4" w14:textId="56A75F76" w:rsidR="000B40C4" w:rsidRPr="000B40C4" w:rsidRDefault="00DD6394" w:rsidP="00A55ABF">
      <w:pPr>
        <w:jc w:val="center"/>
        <w:rPr>
          <w:b/>
          <w:bCs/>
          <w:sz w:val="32"/>
          <w:szCs w:val="32"/>
        </w:rPr>
      </w:pPr>
      <w:bookmarkStart w:id="0" w:name="_GoBack"/>
      <w:bookmarkEnd w:id="0"/>
      <w:proofErr w:type="gramStart"/>
      <w:r>
        <w:rPr>
          <w:b/>
          <w:bCs/>
          <w:sz w:val="32"/>
          <w:szCs w:val="32"/>
        </w:rPr>
        <w:t xml:space="preserve">The Potential Impact of </w:t>
      </w:r>
      <w:r>
        <w:rPr>
          <w:b/>
          <w:bCs/>
          <w:sz w:val="32"/>
          <w:szCs w:val="32"/>
          <w:lang w:val="en-GB"/>
        </w:rPr>
        <w:t>t</w:t>
      </w:r>
      <w:r w:rsidR="000B40C4" w:rsidRPr="000B40C4">
        <w:rPr>
          <w:b/>
          <w:bCs/>
          <w:sz w:val="32"/>
          <w:szCs w:val="32"/>
        </w:rPr>
        <w:t xml:space="preserve">he </w:t>
      </w:r>
      <w:r w:rsidR="00A55ABF">
        <w:rPr>
          <w:b/>
          <w:bCs/>
          <w:sz w:val="32"/>
          <w:szCs w:val="32"/>
        </w:rPr>
        <w:t>H. P</w:t>
      </w:r>
      <w:r w:rsidR="000B40C4" w:rsidRPr="00A55ABF">
        <w:rPr>
          <w:b/>
          <w:bCs/>
          <w:sz w:val="32"/>
          <w:szCs w:val="32"/>
        </w:rPr>
        <w:t>ylori</w:t>
      </w:r>
      <w:r w:rsidR="00813EF2">
        <w:rPr>
          <w:b/>
          <w:bCs/>
          <w:sz w:val="32"/>
          <w:szCs w:val="32"/>
        </w:rPr>
        <w:t xml:space="preserve"> Infection on t</w:t>
      </w:r>
      <w:r w:rsidR="00AA707F">
        <w:rPr>
          <w:b/>
          <w:bCs/>
          <w:sz w:val="32"/>
          <w:szCs w:val="32"/>
        </w:rPr>
        <w:t>he Development of Colorectal C</w:t>
      </w:r>
      <w:r w:rsidR="000B40C4" w:rsidRPr="000B40C4">
        <w:rPr>
          <w:b/>
          <w:bCs/>
          <w:sz w:val="32"/>
          <w:szCs w:val="32"/>
        </w:rPr>
        <w:t>arcinoma.</w:t>
      </w:r>
      <w:proofErr w:type="gramEnd"/>
      <w:r w:rsidR="00A55ABF">
        <w:rPr>
          <w:b/>
          <w:bCs/>
          <w:sz w:val="32"/>
          <w:szCs w:val="32"/>
        </w:rPr>
        <w:t xml:space="preserve"> </w:t>
      </w:r>
    </w:p>
    <w:p w14:paraId="1945A040" w14:textId="77777777" w:rsidR="006458BE" w:rsidRPr="00AA707F" w:rsidRDefault="006458BE" w:rsidP="006458BE">
      <w:pPr>
        <w:jc w:val="center"/>
        <w:rPr>
          <w:b/>
          <w:bCs/>
          <w:sz w:val="12"/>
          <w:szCs w:val="12"/>
        </w:rPr>
      </w:pPr>
    </w:p>
    <w:p w14:paraId="1F2185A1" w14:textId="77777777" w:rsidR="006458BE" w:rsidRPr="00AA707F" w:rsidRDefault="006458BE" w:rsidP="006458BE">
      <w:pPr>
        <w:jc w:val="center"/>
        <w:rPr>
          <w:b/>
          <w:bCs/>
          <w:sz w:val="12"/>
          <w:szCs w:val="12"/>
        </w:rPr>
      </w:pPr>
    </w:p>
    <w:p w14:paraId="641024D0" w14:textId="34C76DED" w:rsidR="006458BE" w:rsidRPr="00D74C5F" w:rsidRDefault="00190C07" w:rsidP="007556FE">
      <w:pPr>
        <w:jc w:val="center"/>
        <w:rPr>
          <w:b/>
          <w:bCs/>
        </w:rPr>
      </w:pPr>
      <w:r w:rsidRPr="00190C07">
        <w:rPr>
          <w:b/>
          <w:bCs/>
        </w:rPr>
        <w:t xml:space="preserve">Zaid </w:t>
      </w:r>
      <w:r>
        <w:rPr>
          <w:b/>
          <w:bCs/>
        </w:rPr>
        <w:t>Al-Mashahedi</w:t>
      </w:r>
      <w:r w:rsidR="006458BE">
        <w:rPr>
          <w:b/>
          <w:bCs/>
          <w:vertAlign w:val="superscript"/>
        </w:rPr>
        <w:t>1</w:t>
      </w:r>
      <w:r w:rsidR="007556FE">
        <w:rPr>
          <w:b/>
          <w:bCs/>
          <w:vertAlign w:val="superscript"/>
        </w:rPr>
        <w:t>*</w:t>
      </w:r>
      <w:r>
        <w:rPr>
          <w:b/>
          <w:bCs/>
        </w:rPr>
        <w:t xml:space="preserve">, </w:t>
      </w:r>
      <w:proofErr w:type="spellStart"/>
      <w:r w:rsidRPr="00190C07">
        <w:rPr>
          <w:b/>
          <w:bCs/>
          <w:lang w:val="en"/>
        </w:rPr>
        <w:t>Essam</w:t>
      </w:r>
      <w:proofErr w:type="spellEnd"/>
      <w:r w:rsidRPr="00190C07">
        <w:rPr>
          <w:b/>
          <w:bCs/>
          <w:lang w:val="en"/>
        </w:rPr>
        <w:t xml:space="preserve"> Mohammed Abdullah</w:t>
      </w:r>
      <w:r w:rsidRPr="00190C07">
        <w:rPr>
          <w:b/>
          <w:bCs/>
          <w:vertAlign w:val="superscript"/>
        </w:rPr>
        <w:t xml:space="preserve"> </w:t>
      </w:r>
      <w:r w:rsidR="006458BE">
        <w:rPr>
          <w:b/>
          <w:bCs/>
          <w:vertAlign w:val="superscript"/>
        </w:rPr>
        <w:t>2</w:t>
      </w:r>
      <w:r w:rsidR="006458BE" w:rsidRPr="003D5B84">
        <w:rPr>
          <w:b/>
          <w:bCs/>
          <w:lang w:val="id-ID"/>
        </w:rPr>
        <w:t xml:space="preserve"> </w:t>
      </w:r>
      <w:r w:rsidR="007556FE">
        <w:rPr>
          <w:b/>
          <w:bCs/>
          <w:lang w:val="en-GB"/>
        </w:rPr>
        <w:t xml:space="preserve">and </w:t>
      </w:r>
      <w:r w:rsidR="007556FE">
        <w:rPr>
          <w:b/>
          <w:bCs/>
        </w:rPr>
        <w:t>Maher Ali Jasim</w:t>
      </w:r>
      <w:r w:rsidR="007556FE">
        <w:rPr>
          <w:b/>
          <w:bCs/>
          <w:vertAlign w:val="superscript"/>
        </w:rPr>
        <w:t>1</w:t>
      </w:r>
      <w:r>
        <w:rPr>
          <w:b/>
          <w:bCs/>
        </w:rPr>
        <w:t xml:space="preserve"> </w:t>
      </w:r>
    </w:p>
    <w:p w14:paraId="5A6129A9" w14:textId="31F7091B" w:rsidR="006458BE" w:rsidRPr="00515B6E" w:rsidRDefault="006458BE" w:rsidP="00515B6E">
      <w:pPr>
        <w:jc w:val="center"/>
        <w:rPr>
          <w:sz w:val="18"/>
          <w:szCs w:val="18"/>
        </w:rPr>
      </w:pPr>
      <w:r w:rsidRPr="00515B6E">
        <w:rPr>
          <w:sz w:val="18"/>
          <w:szCs w:val="18"/>
          <w:vertAlign w:val="superscript"/>
        </w:rPr>
        <w:t>1</w:t>
      </w:r>
      <w:r w:rsidR="00190C07" w:rsidRPr="00515B6E">
        <w:rPr>
          <w:sz w:val="18"/>
          <w:szCs w:val="18"/>
        </w:rPr>
        <w:t xml:space="preserve"> College of </w:t>
      </w:r>
      <w:r w:rsidR="00515B6E" w:rsidRPr="00515B6E">
        <w:rPr>
          <w:sz w:val="18"/>
          <w:szCs w:val="18"/>
        </w:rPr>
        <w:t>Medicine</w:t>
      </w:r>
      <w:r w:rsidR="00903666" w:rsidRPr="00515B6E">
        <w:rPr>
          <w:sz w:val="18"/>
          <w:szCs w:val="18"/>
        </w:rPr>
        <w:t>,</w:t>
      </w:r>
      <w:r w:rsidR="00515B6E" w:rsidRPr="00515B6E">
        <w:rPr>
          <w:sz w:val="18"/>
          <w:szCs w:val="18"/>
        </w:rPr>
        <w:t xml:space="preserve"> </w:t>
      </w:r>
      <w:r w:rsidRPr="00515B6E">
        <w:rPr>
          <w:sz w:val="18"/>
          <w:szCs w:val="18"/>
        </w:rPr>
        <w:t xml:space="preserve">University of </w:t>
      </w:r>
      <w:r w:rsidR="00190C07" w:rsidRPr="00515B6E">
        <w:rPr>
          <w:sz w:val="18"/>
          <w:szCs w:val="18"/>
        </w:rPr>
        <w:t>Anbar</w:t>
      </w:r>
      <w:r w:rsidRPr="00515B6E">
        <w:rPr>
          <w:sz w:val="18"/>
          <w:szCs w:val="18"/>
        </w:rPr>
        <w:t xml:space="preserve">, </w:t>
      </w:r>
      <w:r w:rsidR="00903666" w:rsidRPr="00515B6E">
        <w:rPr>
          <w:sz w:val="18"/>
          <w:szCs w:val="18"/>
        </w:rPr>
        <w:t>Anbar</w:t>
      </w:r>
      <w:r w:rsidRPr="00515B6E">
        <w:rPr>
          <w:sz w:val="18"/>
          <w:szCs w:val="18"/>
        </w:rPr>
        <w:t xml:space="preserve">, Iraq </w:t>
      </w:r>
    </w:p>
    <w:p w14:paraId="5C881A06" w14:textId="46357F92" w:rsidR="006458BE" w:rsidRPr="00515B6E" w:rsidRDefault="006458BE" w:rsidP="00903666">
      <w:pPr>
        <w:jc w:val="center"/>
        <w:rPr>
          <w:sz w:val="18"/>
          <w:szCs w:val="18"/>
        </w:rPr>
      </w:pPr>
      <w:r w:rsidRPr="00515B6E">
        <w:rPr>
          <w:sz w:val="18"/>
          <w:szCs w:val="18"/>
          <w:vertAlign w:val="superscript"/>
        </w:rPr>
        <w:t>2</w:t>
      </w:r>
      <w:r w:rsidR="00515B6E">
        <w:rPr>
          <w:sz w:val="18"/>
          <w:szCs w:val="18"/>
        </w:rPr>
        <w:t xml:space="preserve"> </w:t>
      </w:r>
      <w:proofErr w:type="gramStart"/>
      <w:r w:rsidR="00515B6E" w:rsidRPr="00515B6E">
        <w:rPr>
          <w:sz w:val="18"/>
          <w:szCs w:val="18"/>
        </w:rPr>
        <w:t>College</w:t>
      </w:r>
      <w:proofErr w:type="gramEnd"/>
      <w:r w:rsidR="00515B6E" w:rsidRPr="00515B6E">
        <w:rPr>
          <w:sz w:val="18"/>
          <w:szCs w:val="18"/>
        </w:rPr>
        <w:t xml:space="preserve"> of P</w:t>
      </w:r>
      <w:r w:rsidR="00903666" w:rsidRPr="00515B6E">
        <w:rPr>
          <w:sz w:val="18"/>
          <w:szCs w:val="18"/>
        </w:rPr>
        <w:t>harmacy,</w:t>
      </w:r>
      <w:r w:rsidR="00515B6E" w:rsidRPr="00515B6E">
        <w:rPr>
          <w:sz w:val="18"/>
          <w:szCs w:val="18"/>
        </w:rPr>
        <w:t xml:space="preserve"> </w:t>
      </w:r>
      <w:r w:rsidRPr="00515B6E">
        <w:rPr>
          <w:sz w:val="18"/>
          <w:szCs w:val="18"/>
        </w:rPr>
        <w:t xml:space="preserve">University of </w:t>
      </w:r>
      <w:r w:rsidR="00190C07" w:rsidRPr="00515B6E">
        <w:rPr>
          <w:sz w:val="18"/>
          <w:szCs w:val="18"/>
        </w:rPr>
        <w:t>Anbar</w:t>
      </w:r>
      <w:r w:rsidRPr="00515B6E">
        <w:rPr>
          <w:sz w:val="18"/>
          <w:szCs w:val="18"/>
        </w:rPr>
        <w:t xml:space="preserve">, </w:t>
      </w:r>
      <w:r w:rsidR="00903666" w:rsidRPr="00515B6E">
        <w:rPr>
          <w:sz w:val="18"/>
          <w:szCs w:val="18"/>
        </w:rPr>
        <w:t>Anbar</w:t>
      </w:r>
      <w:r w:rsidRPr="00515B6E">
        <w:rPr>
          <w:sz w:val="18"/>
          <w:szCs w:val="18"/>
        </w:rPr>
        <w:t xml:space="preserve">, Iraq </w:t>
      </w:r>
    </w:p>
    <w:p w14:paraId="6D527EB6" w14:textId="77777777" w:rsidR="006458BE" w:rsidRPr="00AA707F" w:rsidRDefault="006458BE" w:rsidP="00AA707F">
      <w:pPr>
        <w:jc w:val="center"/>
        <w:rPr>
          <w:sz w:val="12"/>
          <w:szCs w:val="12"/>
        </w:rPr>
      </w:pPr>
    </w:p>
    <w:tbl>
      <w:tblPr>
        <w:tblStyle w:val="TableGrid"/>
        <w:tblW w:w="8845" w:type="dxa"/>
        <w:jc w:val="center"/>
        <w:tblLook w:val="04A0" w:firstRow="1" w:lastRow="0" w:firstColumn="1" w:lastColumn="0" w:noHBand="0" w:noVBand="1"/>
      </w:tblPr>
      <w:tblGrid>
        <w:gridCol w:w="2794"/>
        <w:gridCol w:w="282"/>
        <w:gridCol w:w="5769"/>
      </w:tblGrid>
      <w:tr w:rsidR="006458BE" w14:paraId="61E38159" w14:textId="77777777" w:rsidTr="00FD7EDD">
        <w:trPr>
          <w:jc w:val="center"/>
        </w:trPr>
        <w:tc>
          <w:tcPr>
            <w:tcW w:w="2802" w:type="dxa"/>
            <w:tcBorders>
              <w:top w:val="double" w:sz="4" w:space="0" w:color="auto"/>
              <w:left w:val="nil"/>
              <w:bottom w:val="single" w:sz="4" w:space="0" w:color="auto"/>
              <w:right w:val="nil"/>
            </w:tcBorders>
          </w:tcPr>
          <w:p w14:paraId="10D3F060" w14:textId="77777777" w:rsidR="006458BE" w:rsidRPr="00957C11" w:rsidRDefault="006458BE" w:rsidP="00FD7EDD">
            <w:pPr>
              <w:spacing w:before="120"/>
              <w:jc w:val="both"/>
              <w:rPr>
                <w:b/>
              </w:rPr>
            </w:pPr>
            <w:r w:rsidRPr="00957C11">
              <w:rPr>
                <w:b/>
              </w:rPr>
              <w:t>Article Info</w:t>
            </w:r>
          </w:p>
        </w:tc>
        <w:tc>
          <w:tcPr>
            <w:tcW w:w="283" w:type="dxa"/>
            <w:tcBorders>
              <w:top w:val="double" w:sz="4" w:space="0" w:color="auto"/>
              <w:left w:val="nil"/>
              <w:bottom w:val="nil"/>
              <w:right w:val="nil"/>
            </w:tcBorders>
          </w:tcPr>
          <w:p w14:paraId="2DB947DA" w14:textId="77777777" w:rsidR="006458BE" w:rsidRDefault="006458BE" w:rsidP="00FD7EDD">
            <w:pPr>
              <w:spacing w:before="120"/>
              <w:jc w:val="center"/>
            </w:pPr>
          </w:p>
        </w:tc>
        <w:tc>
          <w:tcPr>
            <w:tcW w:w="5812" w:type="dxa"/>
            <w:tcBorders>
              <w:top w:val="double" w:sz="4" w:space="0" w:color="auto"/>
              <w:left w:val="nil"/>
              <w:bottom w:val="single" w:sz="4" w:space="0" w:color="auto"/>
              <w:right w:val="nil"/>
            </w:tcBorders>
          </w:tcPr>
          <w:p w14:paraId="380639C8" w14:textId="5708717C" w:rsidR="006458BE" w:rsidRPr="00957C11" w:rsidRDefault="006458BE" w:rsidP="00FD7EDD">
            <w:pPr>
              <w:spacing w:before="120"/>
              <w:rPr>
                <w:color w:val="000000"/>
                <w:sz w:val="24"/>
                <w:szCs w:val="24"/>
              </w:rPr>
            </w:pPr>
            <w:r w:rsidRPr="00957C11">
              <w:rPr>
                <w:b/>
                <w:bCs/>
                <w:iCs/>
                <w:color w:val="000000"/>
              </w:rPr>
              <w:t xml:space="preserve">ABSTRACT </w:t>
            </w:r>
          </w:p>
        </w:tc>
      </w:tr>
      <w:tr w:rsidR="006458BE" w14:paraId="75E2A225" w14:textId="77777777" w:rsidTr="00FD7EDD">
        <w:trPr>
          <w:trHeight w:val="1268"/>
          <w:jc w:val="center"/>
        </w:trPr>
        <w:tc>
          <w:tcPr>
            <w:tcW w:w="2802" w:type="dxa"/>
            <w:tcBorders>
              <w:top w:val="single" w:sz="4" w:space="0" w:color="auto"/>
              <w:left w:val="nil"/>
              <w:bottom w:val="single" w:sz="4" w:space="0" w:color="auto"/>
              <w:right w:val="nil"/>
            </w:tcBorders>
          </w:tcPr>
          <w:p w14:paraId="6FE62F69" w14:textId="77777777" w:rsidR="006458BE" w:rsidRPr="007F286F" w:rsidRDefault="006458BE" w:rsidP="00FD7EDD">
            <w:pPr>
              <w:spacing w:before="120" w:after="120"/>
              <w:jc w:val="both"/>
              <w:rPr>
                <w:b/>
                <w:i/>
              </w:rPr>
            </w:pPr>
            <w:r w:rsidRPr="007F286F">
              <w:rPr>
                <w:b/>
                <w:i/>
              </w:rPr>
              <w:t>Article history:</w:t>
            </w:r>
          </w:p>
          <w:p w14:paraId="6CB5C78D" w14:textId="028CA61C" w:rsidR="006458BE" w:rsidRDefault="006458BE" w:rsidP="007556FE">
            <w:pPr>
              <w:jc w:val="both"/>
            </w:pPr>
            <w:r w:rsidRPr="00957C11">
              <w:t>Received</w:t>
            </w:r>
            <w:r>
              <w:t xml:space="preserve"> </w:t>
            </w:r>
            <w:r w:rsidR="007556FE">
              <w:t>May,</w:t>
            </w:r>
            <w:r w:rsidRPr="00523156">
              <w:t xml:space="preserve"> </w:t>
            </w:r>
            <w:r w:rsidR="007556FE">
              <w:t>06</w:t>
            </w:r>
            <w:r w:rsidRPr="00523156">
              <w:t xml:space="preserve">, </w:t>
            </w:r>
            <w:r w:rsidR="007556FE">
              <w:t>2025</w:t>
            </w:r>
          </w:p>
          <w:p w14:paraId="14B56888" w14:textId="20953841" w:rsidR="006458BE" w:rsidRDefault="006458BE" w:rsidP="00A52EF5">
            <w:pPr>
              <w:jc w:val="both"/>
            </w:pPr>
            <w:r>
              <w:t xml:space="preserve">Revised </w:t>
            </w:r>
            <w:r w:rsidR="007556FE">
              <w:t xml:space="preserve">  </w:t>
            </w:r>
            <w:r w:rsidR="00DD6394">
              <w:t>June,</w:t>
            </w:r>
            <w:r w:rsidRPr="00523156">
              <w:t xml:space="preserve"> </w:t>
            </w:r>
            <w:r w:rsidR="00DD6394">
              <w:t>1</w:t>
            </w:r>
            <w:r w:rsidR="00A52EF5">
              <w:t>8</w:t>
            </w:r>
            <w:r w:rsidRPr="00523156">
              <w:t xml:space="preserve">, </w:t>
            </w:r>
            <w:r w:rsidR="00DD6394">
              <w:t>2025</w:t>
            </w:r>
          </w:p>
          <w:p w14:paraId="0E77EA13" w14:textId="7C60D051" w:rsidR="006458BE" w:rsidRDefault="006458BE" w:rsidP="00DD6394">
            <w:pPr>
              <w:jc w:val="both"/>
            </w:pPr>
            <w:r>
              <w:t xml:space="preserve">Accepted </w:t>
            </w:r>
            <w:r w:rsidR="00DD6394">
              <w:t>July,</w:t>
            </w:r>
            <w:r w:rsidRPr="00523156">
              <w:t xml:space="preserve"> </w:t>
            </w:r>
            <w:r w:rsidR="00DD6394">
              <w:t>27</w:t>
            </w:r>
            <w:r w:rsidRPr="00523156">
              <w:t xml:space="preserve">, </w:t>
            </w:r>
            <w:r w:rsidR="00DD6394">
              <w:t xml:space="preserve">2025 </w:t>
            </w:r>
          </w:p>
          <w:p w14:paraId="295B8504" w14:textId="77777777" w:rsidR="006458BE" w:rsidRPr="00957C11" w:rsidRDefault="006458BE" w:rsidP="00FD7EDD">
            <w:pPr>
              <w:jc w:val="both"/>
            </w:pPr>
          </w:p>
        </w:tc>
        <w:tc>
          <w:tcPr>
            <w:tcW w:w="283" w:type="dxa"/>
            <w:vMerge w:val="restart"/>
            <w:tcBorders>
              <w:top w:val="nil"/>
              <w:left w:val="nil"/>
              <w:bottom w:val="nil"/>
              <w:right w:val="nil"/>
            </w:tcBorders>
          </w:tcPr>
          <w:p w14:paraId="370AA114" w14:textId="77777777" w:rsidR="006458BE" w:rsidRDefault="006458BE" w:rsidP="00FD7EDD">
            <w:pPr>
              <w:spacing w:before="120"/>
              <w:jc w:val="both"/>
            </w:pPr>
          </w:p>
        </w:tc>
        <w:tc>
          <w:tcPr>
            <w:tcW w:w="5812" w:type="dxa"/>
            <w:vMerge w:val="restart"/>
            <w:tcBorders>
              <w:top w:val="single" w:sz="4" w:space="0" w:color="auto"/>
              <w:left w:val="nil"/>
              <w:bottom w:val="nil"/>
              <w:right w:val="nil"/>
            </w:tcBorders>
          </w:tcPr>
          <w:p w14:paraId="2DD23FB4" w14:textId="7D69D744" w:rsidR="006458BE" w:rsidRPr="0062675D" w:rsidRDefault="007139C8" w:rsidP="00317C9E">
            <w:pPr>
              <w:spacing w:before="120"/>
              <w:jc w:val="both"/>
            </w:pPr>
            <w:r>
              <w:rPr>
                <w:iCs/>
                <w:color w:val="000000"/>
                <w:sz w:val="18"/>
                <w:szCs w:val="18"/>
              </w:rPr>
              <w:t xml:space="preserve">              </w:t>
            </w:r>
            <w:r w:rsidR="00574CD6" w:rsidRPr="0062675D">
              <w:rPr>
                <w:iCs/>
                <w:color w:val="000000"/>
              </w:rPr>
              <w:t>This cross-sectional study investigated the association between </w:t>
            </w:r>
            <w:r w:rsidR="00574CD6" w:rsidRPr="0062675D">
              <w:rPr>
                <w:i/>
                <w:iCs/>
                <w:color w:val="000000"/>
              </w:rPr>
              <w:t>Helicobacter pylori</w:t>
            </w:r>
            <w:r w:rsidR="00574CD6" w:rsidRPr="0062675D">
              <w:rPr>
                <w:iCs/>
                <w:color w:val="000000"/>
              </w:rPr>
              <w:t> (</w:t>
            </w:r>
            <w:r w:rsidR="00574CD6" w:rsidRPr="0062675D">
              <w:rPr>
                <w:i/>
                <w:iCs/>
                <w:color w:val="000000"/>
              </w:rPr>
              <w:t>H. pylori</w:t>
            </w:r>
            <w:r w:rsidR="00574CD6" w:rsidRPr="0062675D">
              <w:rPr>
                <w:iCs/>
                <w:color w:val="000000"/>
              </w:rPr>
              <w:t xml:space="preserve">) infection and histopathological subtypes of colorectal lesions in 40 symptomatic patients. Serological (ELISA) and </w:t>
            </w:r>
            <w:r w:rsidR="00317C9E" w:rsidRPr="0062675D">
              <w:rPr>
                <w:iCs/>
                <w:color w:val="000000"/>
              </w:rPr>
              <w:t>immune-</w:t>
            </w:r>
            <w:r w:rsidR="00574CD6" w:rsidRPr="0062675D">
              <w:rPr>
                <w:iCs/>
                <w:color w:val="000000"/>
              </w:rPr>
              <w:t>histochemical (IHC) methods were employed to detect </w:t>
            </w:r>
            <w:r w:rsidR="00574CD6" w:rsidRPr="0062675D">
              <w:rPr>
                <w:i/>
                <w:iCs/>
                <w:color w:val="000000"/>
              </w:rPr>
              <w:t>H. pylori</w:t>
            </w:r>
            <w:r w:rsidR="00574CD6" w:rsidRPr="0062675D">
              <w:rPr>
                <w:iCs/>
                <w:color w:val="000000"/>
              </w:rPr>
              <w:t>. Demographically, the cohort exhibited male predominance (77.5%) and a mean age of 50.45±17.27 years. Adenocarcinoma was the most prevalent histopathological subtype (27.5%), followed by ulcerative colitis with adenomatous polyps (12.5%). IHC detected </w:t>
            </w:r>
            <w:r w:rsidR="00574CD6" w:rsidRPr="0062675D">
              <w:rPr>
                <w:i/>
                <w:iCs/>
                <w:color w:val="000000"/>
              </w:rPr>
              <w:t>H. pylori</w:t>
            </w:r>
            <w:r w:rsidR="00574CD6" w:rsidRPr="0062675D">
              <w:rPr>
                <w:iCs/>
                <w:color w:val="000000"/>
              </w:rPr>
              <w:t> in 57.5% of patients, surpassing serology (47.5%), which demonstrated low sensitivity (34.78%) and specificity (35.29%). Serum </w:t>
            </w:r>
            <w:r w:rsidR="00574CD6" w:rsidRPr="0062675D">
              <w:rPr>
                <w:i/>
                <w:iCs/>
                <w:color w:val="000000"/>
              </w:rPr>
              <w:t>H. pylori</w:t>
            </w:r>
            <w:r w:rsidR="00574CD6" w:rsidRPr="0062675D">
              <w:rPr>
                <w:iCs/>
                <w:color w:val="000000"/>
              </w:rPr>
              <w:t> positivity significantly correlated with adenocarcinoma (p=0.015), suggesting systemic involvement in carcinogenesis, whereas IHC showed no tissue-specific association (p=0.363), but it indicate direct involvements of the</w:t>
            </w:r>
            <w:r w:rsidR="00515B6E" w:rsidRPr="0062675D">
              <w:rPr>
                <w:iCs/>
                <w:color w:val="000000"/>
              </w:rPr>
              <w:t xml:space="preserve"> bacteria in development of CRC</w:t>
            </w:r>
            <w:r w:rsidR="00574CD6" w:rsidRPr="0062675D">
              <w:rPr>
                <w:iCs/>
                <w:color w:val="000000"/>
              </w:rPr>
              <w:t>. These findings underscore IHC’s dia</w:t>
            </w:r>
            <w:r w:rsidR="00515B6E" w:rsidRPr="0062675D">
              <w:rPr>
                <w:iCs/>
                <w:color w:val="000000"/>
              </w:rPr>
              <w:t xml:space="preserve">gnostic superiority and propose </w:t>
            </w:r>
            <w:r w:rsidR="00574CD6" w:rsidRPr="0062675D">
              <w:rPr>
                <w:iCs/>
                <w:color w:val="000000"/>
              </w:rPr>
              <w:t>systemic </w:t>
            </w:r>
            <w:r w:rsidR="00574CD6" w:rsidRPr="0062675D">
              <w:rPr>
                <w:i/>
                <w:iCs/>
                <w:color w:val="000000"/>
              </w:rPr>
              <w:t>H. pylori</w:t>
            </w:r>
            <w:r w:rsidR="00574CD6" w:rsidRPr="0062675D">
              <w:rPr>
                <w:iCs/>
                <w:color w:val="000000"/>
              </w:rPr>
              <w:t> status as a potential biomarker for adenocarcinoma risk. Larger studies are warranted</w:t>
            </w:r>
            <w:r w:rsidR="00317C9E" w:rsidRPr="0062675D">
              <w:rPr>
                <w:iCs/>
                <w:color w:val="000000"/>
              </w:rPr>
              <w:t xml:space="preserve"> to validate these observations. A</w:t>
            </w:r>
            <w:r w:rsidR="006458BE" w:rsidRPr="0062675D">
              <w:rPr>
                <w:iCs/>
                <w:color w:val="000000"/>
              </w:rPr>
              <w:t xml:space="preserve">bstract is often presented separate from the article, so it must be able to stand alone. </w:t>
            </w:r>
          </w:p>
        </w:tc>
      </w:tr>
      <w:tr w:rsidR="006458BE" w14:paraId="2137C824" w14:textId="77777777" w:rsidTr="00FD7EDD">
        <w:trPr>
          <w:trHeight w:val="1231"/>
          <w:jc w:val="center"/>
        </w:trPr>
        <w:tc>
          <w:tcPr>
            <w:tcW w:w="2802" w:type="dxa"/>
            <w:vMerge w:val="restart"/>
            <w:tcBorders>
              <w:top w:val="single" w:sz="4" w:space="0" w:color="auto"/>
              <w:left w:val="nil"/>
              <w:bottom w:val="single" w:sz="4" w:space="0" w:color="auto"/>
              <w:right w:val="nil"/>
            </w:tcBorders>
          </w:tcPr>
          <w:p w14:paraId="127369C5" w14:textId="77777777" w:rsidR="006458BE" w:rsidRPr="007F286F" w:rsidRDefault="006458BE" w:rsidP="00FD7EDD">
            <w:pPr>
              <w:spacing w:before="120" w:after="120"/>
              <w:jc w:val="both"/>
              <w:rPr>
                <w:b/>
                <w:i/>
              </w:rPr>
            </w:pPr>
            <w:r w:rsidRPr="007F286F">
              <w:rPr>
                <w:b/>
                <w:i/>
              </w:rPr>
              <w:t>Keyword</w:t>
            </w:r>
            <w:r>
              <w:rPr>
                <w:b/>
                <w:i/>
              </w:rPr>
              <w:t>s</w:t>
            </w:r>
            <w:r w:rsidRPr="007F286F">
              <w:rPr>
                <w:b/>
                <w:i/>
              </w:rPr>
              <w:t>:</w:t>
            </w:r>
          </w:p>
          <w:p w14:paraId="398CD950" w14:textId="60E62F98" w:rsidR="00903666" w:rsidRDefault="007556FE" w:rsidP="00903666">
            <w:pPr>
              <w:jc w:val="both"/>
            </w:pPr>
            <w:r>
              <w:t>Helicobacter P</w:t>
            </w:r>
            <w:r w:rsidR="00903666" w:rsidRPr="00903666">
              <w:t>ylori</w:t>
            </w:r>
            <w:r>
              <w:t>,</w:t>
            </w:r>
            <w:r w:rsidR="00903666" w:rsidRPr="00903666">
              <w:t xml:space="preserve"> </w:t>
            </w:r>
          </w:p>
          <w:p w14:paraId="6C578F2C" w14:textId="3B337956" w:rsidR="00903666" w:rsidRDefault="00903666" w:rsidP="00903666">
            <w:pPr>
              <w:jc w:val="both"/>
            </w:pPr>
            <w:r>
              <w:t>C</w:t>
            </w:r>
            <w:r w:rsidR="007556FE">
              <w:t>olorectal C</w:t>
            </w:r>
            <w:r w:rsidRPr="00903666">
              <w:t>ancer (CRC)</w:t>
            </w:r>
            <w:r w:rsidR="007556FE">
              <w:t xml:space="preserve">, </w:t>
            </w:r>
          </w:p>
          <w:p w14:paraId="7C40D02E" w14:textId="09A9709F" w:rsidR="000B40C4" w:rsidRDefault="000B40C4" w:rsidP="000B40C4">
            <w:pPr>
              <w:jc w:val="both"/>
            </w:pPr>
            <w:r>
              <w:t>I</w:t>
            </w:r>
            <w:r w:rsidRPr="000B40C4">
              <w:t>mmunohistochemistry (IHC)</w:t>
            </w:r>
            <w:r w:rsidR="007556FE">
              <w:t xml:space="preserve">, </w:t>
            </w:r>
          </w:p>
          <w:p w14:paraId="2E346752" w14:textId="21DE882B" w:rsidR="000B40C4" w:rsidRDefault="000B40C4" w:rsidP="00FD7EDD">
            <w:pPr>
              <w:jc w:val="both"/>
            </w:pPr>
            <w:r w:rsidRPr="009B32EB">
              <w:rPr>
                <w:sz w:val="22"/>
                <w:szCs w:val="22"/>
              </w:rPr>
              <w:t>Serology</w:t>
            </w:r>
            <w:r w:rsidR="007556FE">
              <w:rPr>
                <w:sz w:val="22"/>
                <w:szCs w:val="22"/>
              </w:rPr>
              <w:t xml:space="preserve">, </w:t>
            </w:r>
          </w:p>
          <w:p w14:paraId="23C31D49" w14:textId="711AAB71" w:rsidR="006458BE" w:rsidRPr="007F286F" w:rsidRDefault="000B40C4" w:rsidP="00FD7EDD">
            <w:pPr>
              <w:jc w:val="both"/>
              <w:rPr>
                <w:b/>
                <w:i/>
              </w:rPr>
            </w:pPr>
            <w:r w:rsidRPr="000B40C4">
              <w:t>Adenocarcinoma</w:t>
            </w:r>
            <w:r w:rsidR="007556FE">
              <w:t xml:space="preserve"> </w:t>
            </w:r>
          </w:p>
        </w:tc>
        <w:tc>
          <w:tcPr>
            <w:tcW w:w="283" w:type="dxa"/>
            <w:vMerge/>
            <w:tcBorders>
              <w:top w:val="nil"/>
              <w:left w:val="nil"/>
              <w:bottom w:val="nil"/>
              <w:right w:val="nil"/>
            </w:tcBorders>
          </w:tcPr>
          <w:p w14:paraId="0F4733D1" w14:textId="77777777" w:rsidR="006458BE" w:rsidRDefault="006458BE" w:rsidP="00FD7EDD">
            <w:pPr>
              <w:spacing w:before="120"/>
              <w:jc w:val="both"/>
            </w:pPr>
          </w:p>
        </w:tc>
        <w:tc>
          <w:tcPr>
            <w:tcW w:w="5812" w:type="dxa"/>
            <w:vMerge/>
            <w:tcBorders>
              <w:top w:val="nil"/>
              <w:left w:val="nil"/>
              <w:bottom w:val="nil"/>
              <w:right w:val="nil"/>
            </w:tcBorders>
          </w:tcPr>
          <w:p w14:paraId="399B988A" w14:textId="77777777" w:rsidR="006458BE" w:rsidRPr="00957C11" w:rsidRDefault="006458BE" w:rsidP="00FD7EDD">
            <w:pPr>
              <w:spacing w:before="120"/>
              <w:jc w:val="both"/>
              <w:rPr>
                <w:iCs/>
                <w:color w:val="000000"/>
                <w:sz w:val="18"/>
                <w:szCs w:val="18"/>
              </w:rPr>
            </w:pPr>
          </w:p>
        </w:tc>
      </w:tr>
      <w:tr w:rsidR="006458BE" w14:paraId="5336AAF2" w14:textId="77777777" w:rsidTr="00FD7EDD">
        <w:trPr>
          <w:trHeight w:val="70"/>
          <w:jc w:val="center"/>
        </w:trPr>
        <w:tc>
          <w:tcPr>
            <w:tcW w:w="2802" w:type="dxa"/>
            <w:vMerge/>
            <w:tcBorders>
              <w:top w:val="single" w:sz="4" w:space="0" w:color="auto"/>
              <w:left w:val="nil"/>
              <w:bottom w:val="single" w:sz="4" w:space="0" w:color="auto"/>
              <w:right w:val="nil"/>
            </w:tcBorders>
          </w:tcPr>
          <w:p w14:paraId="7405D708" w14:textId="77777777" w:rsidR="006458BE" w:rsidRPr="007F286F" w:rsidRDefault="006458BE" w:rsidP="00FD7EDD">
            <w:pPr>
              <w:spacing w:before="120" w:after="120"/>
              <w:jc w:val="both"/>
              <w:rPr>
                <w:b/>
                <w:i/>
              </w:rPr>
            </w:pPr>
          </w:p>
        </w:tc>
        <w:tc>
          <w:tcPr>
            <w:tcW w:w="283" w:type="dxa"/>
            <w:vMerge/>
            <w:tcBorders>
              <w:top w:val="nil"/>
              <w:left w:val="nil"/>
              <w:bottom w:val="nil"/>
              <w:right w:val="nil"/>
            </w:tcBorders>
          </w:tcPr>
          <w:p w14:paraId="1F173276" w14:textId="77777777" w:rsidR="006458BE" w:rsidRDefault="006458BE" w:rsidP="00FD7EDD">
            <w:pPr>
              <w:spacing w:before="120"/>
              <w:jc w:val="both"/>
            </w:pPr>
          </w:p>
        </w:tc>
        <w:tc>
          <w:tcPr>
            <w:tcW w:w="5812" w:type="dxa"/>
            <w:tcBorders>
              <w:top w:val="nil"/>
              <w:left w:val="nil"/>
              <w:bottom w:val="single" w:sz="4" w:space="0" w:color="auto"/>
              <w:right w:val="nil"/>
            </w:tcBorders>
          </w:tcPr>
          <w:p w14:paraId="57F7A9B7" w14:textId="77777777" w:rsidR="006458BE" w:rsidRPr="00941203" w:rsidRDefault="006458BE" w:rsidP="00FD7EDD">
            <w:pPr>
              <w:spacing w:before="120" w:after="120"/>
              <w:jc w:val="right"/>
              <w:rPr>
                <w:i/>
                <w:iCs/>
                <w:color w:val="000000"/>
                <w:sz w:val="18"/>
                <w:szCs w:val="18"/>
              </w:rPr>
            </w:pPr>
          </w:p>
        </w:tc>
      </w:tr>
      <w:tr w:rsidR="006458BE" w14:paraId="282F1331" w14:textId="77777777" w:rsidTr="00FD7EDD">
        <w:trPr>
          <w:jc w:val="center"/>
        </w:trPr>
        <w:tc>
          <w:tcPr>
            <w:tcW w:w="8897" w:type="dxa"/>
            <w:gridSpan w:val="3"/>
            <w:tcBorders>
              <w:top w:val="nil"/>
              <w:left w:val="nil"/>
              <w:bottom w:val="double" w:sz="4" w:space="0" w:color="auto"/>
              <w:right w:val="nil"/>
            </w:tcBorders>
          </w:tcPr>
          <w:p w14:paraId="7348DB1B" w14:textId="77777777" w:rsidR="006458BE" w:rsidRPr="007F286F" w:rsidRDefault="006458BE" w:rsidP="00FD7EDD">
            <w:pPr>
              <w:spacing w:before="120" w:after="120"/>
              <w:rPr>
                <w:b/>
                <w:i/>
              </w:rPr>
            </w:pPr>
            <w:r w:rsidRPr="007F286F">
              <w:rPr>
                <w:b/>
                <w:i/>
              </w:rPr>
              <w:t>Corresponding Author:</w:t>
            </w:r>
          </w:p>
          <w:p w14:paraId="4D0A88CE" w14:textId="6AA36351" w:rsidR="006458BE" w:rsidRPr="00B9642F" w:rsidRDefault="00515B6E" w:rsidP="00515B6E">
            <w:pPr>
              <w:spacing w:after="120"/>
            </w:pPr>
            <w:r>
              <w:t xml:space="preserve">* </w:t>
            </w:r>
            <w:r w:rsidR="00574CD6">
              <w:t>Zaid Al-</w:t>
            </w:r>
            <w:proofErr w:type="spellStart"/>
            <w:r w:rsidR="00574CD6">
              <w:t>Mashahedi</w:t>
            </w:r>
            <w:proofErr w:type="spellEnd"/>
            <w:r w:rsidR="00574CD6">
              <w:t xml:space="preserve"> </w:t>
            </w:r>
            <w:r w:rsidR="006458BE">
              <w:br/>
            </w:r>
            <w:r w:rsidR="00574CD6">
              <w:t xml:space="preserve">College of </w:t>
            </w:r>
            <w:r>
              <w:t>M</w:t>
            </w:r>
            <w:r w:rsidR="00574CD6">
              <w:t xml:space="preserve">edicine </w:t>
            </w:r>
            <w:r w:rsidR="006458BE">
              <w:t xml:space="preserve">, University of </w:t>
            </w:r>
            <w:r w:rsidR="00574CD6">
              <w:t>Anbar</w:t>
            </w:r>
            <w:r>
              <w:t xml:space="preserve">, </w:t>
            </w:r>
            <w:r w:rsidR="00574CD6">
              <w:t>Ramadi</w:t>
            </w:r>
            <w:r w:rsidR="006458BE">
              <w:t>, Iraq</w:t>
            </w:r>
            <w:r w:rsidR="006458BE" w:rsidRPr="00E6043C">
              <w:t xml:space="preserve"> </w:t>
            </w:r>
            <w:r w:rsidR="006458BE">
              <w:br/>
              <w:t xml:space="preserve">Email: </w:t>
            </w:r>
            <w:hyperlink r:id="rId9" w:history="1">
              <w:r w:rsidRPr="0000555C">
                <w:rPr>
                  <w:rStyle w:val="Hyperlink"/>
                </w:rPr>
                <w:t>zai21m0015@uoanbar.edu.iq</w:t>
              </w:r>
            </w:hyperlink>
            <w:r>
              <w:t xml:space="preserve"> </w:t>
            </w:r>
          </w:p>
        </w:tc>
      </w:tr>
    </w:tbl>
    <w:p w14:paraId="30FFF5CD" w14:textId="77777777" w:rsidR="006458BE" w:rsidRPr="00515B6E" w:rsidRDefault="006458BE" w:rsidP="006458BE">
      <w:pPr>
        <w:jc w:val="both"/>
        <w:rPr>
          <w:sz w:val="12"/>
          <w:szCs w:val="12"/>
        </w:rPr>
      </w:pPr>
    </w:p>
    <w:p w14:paraId="66857962" w14:textId="77777777" w:rsidR="006458BE" w:rsidRPr="00515B6E" w:rsidRDefault="006458BE" w:rsidP="006458BE">
      <w:pPr>
        <w:jc w:val="both"/>
        <w:rPr>
          <w:sz w:val="12"/>
          <w:szCs w:val="12"/>
        </w:rPr>
      </w:pPr>
    </w:p>
    <w:p w14:paraId="298EA27C" w14:textId="1925FCCF" w:rsidR="006458BE" w:rsidRPr="00515B6E" w:rsidRDefault="00515B6E" w:rsidP="00515B6E">
      <w:pPr>
        <w:tabs>
          <w:tab w:val="left" w:pos="426"/>
        </w:tabs>
        <w:rPr>
          <w:b/>
          <w:bCs/>
          <w:sz w:val="22"/>
          <w:szCs w:val="22"/>
          <w:lang w:val="id-ID"/>
        </w:rPr>
      </w:pPr>
      <w:r w:rsidRPr="00515B6E">
        <w:rPr>
          <w:b/>
          <w:bCs/>
          <w:sz w:val="22"/>
          <w:szCs w:val="22"/>
          <w:lang w:val="en-GB"/>
        </w:rPr>
        <w:t xml:space="preserve">1- </w:t>
      </w:r>
      <w:r w:rsidR="006458BE" w:rsidRPr="00515B6E">
        <w:rPr>
          <w:b/>
          <w:bCs/>
          <w:sz w:val="22"/>
          <w:szCs w:val="22"/>
          <w:lang w:val="id-ID"/>
        </w:rPr>
        <w:t>INTRODUCTION</w:t>
      </w:r>
    </w:p>
    <w:p w14:paraId="0B77932A" w14:textId="77777777" w:rsidR="00515B6E" w:rsidRPr="00515B6E" w:rsidRDefault="00515B6E" w:rsidP="00515B6E">
      <w:pPr>
        <w:jc w:val="both"/>
        <w:rPr>
          <w:sz w:val="12"/>
          <w:szCs w:val="12"/>
          <w:lang w:val="en-GB"/>
        </w:rPr>
      </w:pPr>
    </w:p>
    <w:p w14:paraId="3DAE8C78" w14:textId="05555780" w:rsidR="00574CD6" w:rsidRDefault="00574CD6" w:rsidP="00515B6E">
      <w:pPr>
        <w:ind w:firstLine="720"/>
        <w:jc w:val="both"/>
        <w:rPr>
          <w:lang w:val="en-GB"/>
        </w:rPr>
      </w:pPr>
      <w:r w:rsidRPr="00574CD6">
        <w:rPr>
          <w:i/>
          <w:iCs/>
        </w:rPr>
        <w:t>Helicobacter pylori</w:t>
      </w:r>
      <w:r w:rsidRPr="00574CD6">
        <w:t> (</w:t>
      </w:r>
      <w:r w:rsidRPr="00574CD6">
        <w:rPr>
          <w:i/>
          <w:iCs/>
        </w:rPr>
        <w:t>H. pylori</w:t>
      </w:r>
      <w:r w:rsidRPr="00574CD6">
        <w:t xml:space="preserve">) is a Gram-negative, microaerophilic bacterium that colonizes the human gastric mucosa, infecting approximately 50% of the global population, with higher prevalence in developing countries </w:t>
      </w:r>
      <w:r w:rsidRPr="00574CD6">
        <w:fldChar w:fldCharType="begin" w:fldLock="1"/>
      </w:r>
      <w:r w:rsidR="0083209D">
        <w:instrText>ADDIN CSL_CITATION {"citationItems":[{"id":"ITEM-1","itemData":{"DOI":"10.1053/j.gastro.2017.04.022","ISSN":"1528-0012 (Electronic)","PMID":"28456631","abstract":"BACKGROUND &amp; AIMS: The epidemiology of Helicobacter pylori infection has changed  with improvements in sanitation and methods of eradication. We performed a systematic review and meta-analysis to evaluate changes in the global prevalence of H pylori infection. METHODS: We performed a systematic search of the MEDLINE and EMBASE databases for studies of the prevalence of H pylori infection published from January 1, 1970 through January 1, 2016. We analyzed data based on United Nations geoscheme regions and individual countries. We used a random effects model to calculate pooled prevalence estimates with 95% confidence intervals (CIs), weighted by study size. We extrapolated 2015 prevalence estimates to obtain the estimated number of individuals with H pylori infection. RESULTS: Among 14,006 reports screened, we identified 263 full-text articles on the prevalence of H pylori infection; 184 were included in the final analysis, comprising data from 62 countries. Africa had the highest pooled prevalence of H pylori infection (70.1%; 95% CI, 62.6-77.7), whereas Oceania had the lowest prevalence (24.4%; 95% CI, 18.5-30.4). Among individual countries, the prevalence of H pylori infection varied from as low as 18.9% in Switzerland (95% CI, 13.1-24.7) to 87.7% in Nigeria (95% CI, 83.1-92.2). Based on regional prevalence estimates, there were approximately 4.4 billion individuals with H pylori infection worldwide in 2015. CONCLUSIONS: In a systematic review and meta-analysis to assess the prevalence of H pylori infection worldwide, we observed large amounts of variation among regions-more than half the world's population is infected. These data can be used in development of customized strategies for the global eradication.","author":[{"dropping-particle":"","family":"Hooi","given":"James K Y","non-dropping-particle":"","parse-names":false,"suffix":""},{"dropping-particle":"","family":"Lai","given":"Wan Ying","non-dropping-particle":"","parse-names":false,"suffix":""},{"dropping-particle":"","family":"Ng","given":"Wee Khoon","non-dropping-particle":"","parse-names":false,"suffix":""},{"dropping-particle":"","family":"Suen","given":"Michael M Y","non-dropping-particle":"","parse-names":false,"suffix":""},{"dropping-particle":"","family":"Underwood","given":"Fox E","non-dropping-particle":"","parse-names":false,"suffix":""},{"dropping-particle":"","family":"Tanyingoh","given":"Divine","non-dropping-particle":"","parse-names":false,"suffix":""},{"dropping-particle":"","family":"Malfertheiner","given":"Peter","non-dropping-particle":"","parse-names":false,"suffix":""},{"dropping-particle":"","family":"Graham","given":"David Y","non-dropping-particle":"","parse-names":false,"suffix":""},{"dropping-particle":"","family":"Wong","given":"Vincent W S","non-dropping-particle":"","parse-names":false,"suffix":""},{"dropping-particle":"","family":"Wu","given":"Justin C Y","non-dropping-particle":"","parse-names":false,"suffix":""},{"dropping-particle":"","family":"Chan","given":"Francis K L","non-dropping-particle":"","parse-names":false,"suffix":""},{"dropping-particle":"","family":"Sung","given":"Joseph J Y","non-dropping-particle":"","parse-names":false,"suffix":""},{"dropping-particle":"","family":"Kaplan","given":"Gilaad G","non-dropping-particle":"","parse-names":false,"suffix":""},{"dropping-particle":"","family":"Ng","given":"Siew C","non-dropping-particle":"","parse-names":false,"suffix":""}],"container-title":"Gastroenterology","id":"ITEM-1","issue":"2","issued":{"date-parts":[["2017","8"]]},"language":"eng","page":"420-429","publisher-place":"United States","title":"Global Prevalence of Helicobacter pylori Infection: Systematic Review and  Meta-Analysis.","type":"article-journal","volume":"153"},"uris":["http://www.mendeley.com/documents/?uuid=51274a13-e290-406f-8182-4c4d92d8f040"]}],"mendeley":{"formattedCitation":"(1)","manualFormatting":"[1]","plainTextFormattedCitation":"(1)","previouslyFormattedCitation":"(1)"},"properties":{"noteIndex":0},"schema":"https://github.com/citation-style-language/schema/raw/master/csl-citation.json"}</w:instrText>
      </w:r>
      <w:r w:rsidRPr="00574CD6">
        <w:fldChar w:fldCharType="separate"/>
      </w:r>
      <w:r w:rsidR="0083209D">
        <w:t>[</w:t>
      </w:r>
      <w:r w:rsidRPr="00574CD6">
        <w:t>1</w:t>
      </w:r>
      <w:r w:rsidR="0083209D">
        <w:t>]</w:t>
      </w:r>
      <w:r w:rsidRPr="00574CD6">
        <w:rPr>
          <w:lang w:val="id-ID"/>
        </w:rPr>
        <w:fldChar w:fldCharType="end"/>
      </w:r>
      <w:r w:rsidRPr="00574CD6">
        <w:t xml:space="preserve">. The bacterium is a well-established etiological agent for chronic gastritis, peptic ulcer disease, gastric adenocarcinoma, and mucosa-associated lymphoid tissue (MALT) lymphoma </w:t>
      </w:r>
      <w:r w:rsidRPr="00574CD6">
        <w:fldChar w:fldCharType="begin" w:fldLock="1"/>
      </w:r>
      <w:r w:rsidR="0083209D">
        <w:instrText>ADDIN CSL_CITATION {"citationItems":[{"id":"ITEM-1","itemData":{"DOI":"10.1053/j.gastro.2009.01.073","ISSN":"1528-0012 (Electronic)","PMID":"19457415","abstract":"Helicobacter pylori is highly adapted for colonization of the human stomach and  is present in about half of the human population. When present, H pylori is usually the numerically dominant gastric microorganism. H pylori typically does not cause any adverse effects, but it is associated with an increased risk of noncardia gastric adenocarcinoma, gastric lymphoma, and peptic ulcer. Disorders such as esophageal diseases and childhood-onset asthma were recently reported to occur more frequently in individuals who lack H pylori than in H pylori-positive persons. In this review, we discuss biologic factors that allow H pylori to colonize the human stomach, mechanisms by which H pylori increases the risk of peptic ulcer disease and noncardia gastric adenocarcinoma, and potential benefits that H pylori might confer to humans.","author":[{"dropping-particle":"","family":"Cover","given":"Timothy L","non-dropping-particle":"","parse-names":false,"suffix":""},{"dropping-particle":"","family":"Blaser","given":"Martin J","non-dropping-particle":"","parse-names":false,"suffix":""}],"container-title":"Gastroenterology","id":"ITEM-1","issue":"6","issued":{"date-parts":[["2009","5"]]},"language":"eng","page":"1863-1873","publisher-place":"United States","title":"Helicobacter pylori in health and disease.","type":"article-journal","volume":"136"},"uris":["http://www.mendeley.com/documents/?uuid=c29c7c41-f38f-4f15-be58-226ecaf41298"]}],"mendeley":{"formattedCitation":"(2)","manualFormatting":"[2]","plainTextFormattedCitation":"(2)","previouslyFormattedCitation":"(2)"},"properties":{"noteIndex":0},"schema":"https://github.com/citation-style-language/schema/raw/master/csl-citation.json"}</w:instrText>
      </w:r>
      <w:r w:rsidRPr="00574CD6">
        <w:fldChar w:fldCharType="separate"/>
      </w:r>
      <w:r>
        <w:t>[</w:t>
      </w:r>
      <w:r w:rsidRPr="00574CD6">
        <w:t>2</w:t>
      </w:r>
      <w:r>
        <w:t>]</w:t>
      </w:r>
      <w:r w:rsidRPr="00574CD6">
        <w:rPr>
          <w:lang w:val="id-ID"/>
        </w:rPr>
        <w:fldChar w:fldCharType="end"/>
      </w:r>
      <w:r w:rsidRPr="00574CD6">
        <w:t>. </w:t>
      </w:r>
      <w:r w:rsidRPr="00574CD6">
        <w:rPr>
          <w:i/>
          <w:iCs/>
        </w:rPr>
        <w:t>H. pylori</w:t>
      </w:r>
      <w:r w:rsidRPr="00574CD6">
        <w:t xml:space="preserve"> infection is typically acquired in childhood and persists for life unless treated with antibiotic therapy </w:t>
      </w:r>
      <w:r w:rsidRPr="00574CD6">
        <w:fldChar w:fldCharType="begin" w:fldLock="1"/>
      </w:r>
      <w:r>
        <w:instrText>ADDIN CSL_CITATION {"citationItems":[{"id":"ITEM-1","itemData":{"DOI":"10.1111/hel.12160","ISSN":"1523-5378 (Electronic)","PMID":"25167940","abstract":"Helicobacter pylori relies on multiple colonization and virulence factors to  persist in the human stomach for life. In addition, these factors can be modulated and vary to suit the ever-changing environment within the host individual. This article outlines the novel developments in this field of research during the past year, highlighting the cag pathogenicity island, VacA, γ-glutamyl-transpeptidase as well as including recent advances in protein structure, bacteria-host interaction, and the role of stomach microbiota.","author":[{"dropping-particle":"","family":"Bernard","given":"Marina","non-dropping-particle":"de","parse-names":false,"suffix":""},{"dropping-particle":"","family":"Josenhans","given":"Christine","non-dropping-particle":"","parse-names":false,"suffix":""}],"container-title":"Helicobacter","id":"ITEM-1","issued":{"date-parts":[["2014","9"]]},"language":"eng","page":"11-18","publisher-place":"England","title":"Pathogenesis of Helicobacter pylori infection.","type":"article-journal","volume":"19 Suppl 1"},"uris":["http://www.mendeley.com/documents/?uuid=17f40556-8c50-49b8-ab95-e7996d83eb15"]}],"mendeley":{"formattedCitation":"(3)","manualFormatting":"[3]","plainTextFormattedCitation":"(3)","previouslyFormattedCitation":"(3)"},"properties":{"noteIndex":0},"schema":"https://github.com/citation-style-language/schema/raw/master/csl-citation.json"}</w:instrText>
      </w:r>
      <w:r w:rsidRPr="00574CD6">
        <w:fldChar w:fldCharType="separate"/>
      </w:r>
      <w:r>
        <w:t>[</w:t>
      </w:r>
      <w:r w:rsidRPr="00574CD6">
        <w:t>3</w:t>
      </w:r>
      <w:r>
        <w:t>]</w:t>
      </w:r>
      <w:r w:rsidRPr="00574CD6">
        <w:rPr>
          <w:lang w:val="id-ID"/>
        </w:rPr>
        <w:fldChar w:fldCharType="end"/>
      </w:r>
      <w:r w:rsidR="00515B6E">
        <w:rPr>
          <w:lang w:val="en-GB"/>
        </w:rPr>
        <w:t xml:space="preserve">. </w:t>
      </w:r>
    </w:p>
    <w:p w14:paraId="360A878B" w14:textId="77777777" w:rsidR="00515B6E" w:rsidRPr="00515B6E" w:rsidRDefault="00515B6E" w:rsidP="00515B6E">
      <w:pPr>
        <w:jc w:val="both"/>
        <w:rPr>
          <w:sz w:val="12"/>
          <w:szCs w:val="12"/>
          <w:lang w:val="en-GB"/>
        </w:rPr>
      </w:pPr>
    </w:p>
    <w:p w14:paraId="02F4134A" w14:textId="5FA391BF" w:rsidR="00574CD6" w:rsidRPr="00574CD6" w:rsidRDefault="00574CD6" w:rsidP="00515B6E">
      <w:pPr>
        <w:jc w:val="both"/>
      </w:pPr>
      <w:bookmarkStart w:id="1" w:name="_Hlk80000657"/>
      <w:bookmarkStart w:id="2" w:name="_Hlk78354294"/>
      <w:r w:rsidRPr="00574CD6">
        <w:t>The pathogenicity of </w:t>
      </w:r>
      <w:r w:rsidRPr="00574CD6">
        <w:rPr>
          <w:i/>
          <w:iCs/>
        </w:rPr>
        <w:t>H. pylori</w:t>
      </w:r>
      <w:r w:rsidRPr="00574CD6">
        <w:t xml:space="preserve"> is attributed to virulence factors such as </w:t>
      </w:r>
      <w:proofErr w:type="spellStart"/>
      <w:r w:rsidRPr="00574CD6">
        <w:t>cytotoxin</w:t>
      </w:r>
      <w:proofErr w:type="spellEnd"/>
      <w:r w:rsidRPr="00574CD6">
        <w:t>-associated gene A (</w:t>
      </w:r>
      <w:proofErr w:type="spellStart"/>
      <w:r w:rsidRPr="00574CD6">
        <w:t>CagA</w:t>
      </w:r>
      <w:proofErr w:type="spellEnd"/>
      <w:r w:rsidRPr="00574CD6">
        <w:t xml:space="preserve">) and </w:t>
      </w:r>
      <w:proofErr w:type="spellStart"/>
      <w:r w:rsidRPr="00574CD6">
        <w:t>vacuolating</w:t>
      </w:r>
      <w:proofErr w:type="spellEnd"/>
      <w:r w:rsidRPr="00574CD6">
        <w:t xml:space="preserve"> </w:t>
      </w:r>
      <w:proofErr w:type="spellStart"/>
      <w:r w:rsidRPr="00574CD6">
        <w:t>cytotoxin</w:t>
      </w:r>
      <w:proofErr w:type="spellEnd"/>
      <w:r w:rsidRPr="00574CD6">
        <w:t xml:space="preserve"> A (</w:t>
      </w:r>
      <w:proofErr w:type="spellStart"/>
      <w:r w:rsidRPr="00574CD6">
        <w:t>VacA</w:t>
      </w:r>
      <w:proofErr w:type="spellEnd"/>
      <w:r w:rsidRPr="00574CD6">
        <w:t xml:space="preserve">), which induce inflammation, epithelial damage, and dysregulation of host cell signaling pathways </w:t>
      </w:r>
      <w:r w:rsidRPr="00574CD6">
        <w:fldChar w:fldCharType="begin" w:fldLock="1"/>
      </w:r>
      <w:r w:rsidR="0083209D">
        <w:instrText>ADDIN CSL_CITATION {"citationItems":[{"id":"ITEM-1","itemData":{"DOI":"10.1038/nrc1433","ISSN":"1474-175X (Print)","PMID":"15343275","abstract":"Infection with strains of Helicobacter pylori that carry the cytotoxin-associated  antigen A (cagA) gene is associated with gastric carcinoma. Recent studies have shed light on the mechanism through which the cagA gene product, CagA, elicits pathophysiological actions. CagA is delivered into gastric epithelial cells by the bacterial type IV secretion system, where it deregulates the SHP2 oncoprotein. Intriguingly, CagA is noted for its variation, particularly at the SHP2-binding site, which could affect the potential of different strains of H. pylori to promote gastric carcinogenesis.","author":[{"dropping-particle":"","family":"Hatakeyama","given":"Masanori","non-dropping-particle":"","parse-names":false,"suffix":""}],"container-title":"Nature reviews. Cancer","id":"ITEM-1","issue":"9","issued":{"date-parts":[["2004","9"]]},"language":"eng","page":"688-694","publisher-place":"England","title":"Oncogenic mechanisms of the Helicobacter pylori CagA protein.","type":"article-journal","volume":"4"},"uris":["http://www.mendeley.com/documents/?uuid=ef0e62e2-785c-4e8b-b1f3-cd7c0ed63fef"]}],"mendeley":{"formattedCitation":"(4)","manualFormatting":"[4]","plainTextFormattedCitation":"(4)","previouslyFormattedCitation":"(4)"},"properties":{"noteIndex":0},"schema":"https://github.com/citation-style-language/schema/raw/master/csl-citation.json"}</w:instrText>
      </w:r>
      <w:r w:rsidRPr="00574CD6">
        <w:fldChar w:fldCharType="separate"/>
      </w:r>
      <w:r w:rsidR="0083209D">
        <w:t>[</w:t>
      </w:r>
      <w:r w:rsidRPr="00574CD6">
        <w:t>4</w:t>
      </w:r>
      <w:r w:rsidR="0083209D">
        <w:t>]</w:t>
      </w:r>
      <w:r w:rsidRPr="00574CD6">
        <w:rPr>
          <w:lang w:val="id-ID"/>
        </w:rPr>
        <w:fldChar w:fldCharType="end"/>
      </w:r>
      <w:r w:rsidRPr="00574CD6">
        <w:t>.</w:t>
      </w:r>
      <w:r w:rsidR="00515B6E">
        <w:t xml:space="preserve"> </w:t>
      </w:r>
    </w:p>
    <w:p w14:paraId="4CFEA242" w14:textId="77777777" w:rsidR="00515B6E" w:rsidRPr="00515B6E" w:rsidRDefault="00515B6E" w:rsidP="00515B6E">
      <w:pPr>
        <w:jc w:val="both"/>
        <w:rPr>
          <w:sz w:val="12"/>
          <w:szCs w:val="12"/>
        </w:rPr>
      </w:pPr>
    </w:p>
    <w:p w14:paraId="593912FA" w14:textId="2A038BD4" w:rsidR="00574CD6" w:rsidRPr="00574CD6" w:rsidRDefault="00574CD6" w:rsidP="00515B6E">
      <w:pPr>
        <w:jc w:val="both"/>
      </w:pPr>
      <w:r w:rsidRPr="00574CD6">
        <w:t>While the gastric tropism of </w:t>
      </w:r>
      <w:r w:rsidRPr="00574CD6">
        <w:rPr>
          <w:i/>
          <w:iCs/>
        </w:rPr>
        <w:t>H. pylori</w:t>
      </w:r>
      <w:r w:rsidRPr="00574CD6">
        <w:t xml:space="preserve"> is well-documented, emerging evidence suggests its potential role in </w:t>
      </w:r>
      <w:proofErr w:type="spellStart"/>
      <w:r w:rsidRPr="00574CD6">
        <w:t>extragastric</w:t>
      </w:r>
      <w:proofErr w:type="spellEnd"/>
      <w:r w:rsidRPr="00574CD6">
        <w:t xml:space="preserve"> diseases, including colorectal cancer (CRC) </w:t>
      </w:r>
      <w:r w:rsidRPr="00574CD6">
        <w:fldChar w:fldCharType="begin" w:fldLock="1"/>
      </w:r>
      <w:r w:rsidR="0083209D">
        <w:instrText>ADDIN CSL_CITATION {"citationItems":[{"id":"ITEM-1","itemData":{"DOI":"10.3390/antibiotics12020191","ISSN":"2079-6382 (Print)","PMID":"36830102","abstract":"Helicobacter pylori (H. pylori) infection, which affects approximately half of  the world's population, remains a serious public health problem. As H. pylori infection leads to a number of gastric pathologies, including inflammation, gastroduodenal ulcers, and malignancies, early detection and treatment are crucial to preventing the spread of the infection. Multiple extragastric complications, such as iron deficiency anaemia, immune thrombocytopenic purpura, vitamin B12 deficiency, diabetes mellitus, cardiovascular diseases, and certain neurological disorders, have also been linked to H. pylori infection. An awareness of H. pylori and associated health hazards is necessary to minimize or even eradicate the infection. Therefore, there is an urgent need to raise the standards for the currently employed diagnostic, eradication, alternative treatment strategies. In addition, a brief overview of traditional and cutting-edge approaches that have proven effective in identifying and managing H. pylori is needed. Based on the test and laboratory equipment available and patient clinical characteristics, the optimal diagnostic approach requires weighing several factors. The pathophysiology and pathogenic mechanisms of H. pylori should also be studied, focusing more on the infection-causing virulence factors of this bacterium. Accordingly, this review aims to demonstrate the various diagnostic, pathophysiological, therapeutic, and eradication tactics available for H. pylori, emphasizing both their advantages and disadvantages. Invasive methods (such as quick urease testing, biopsy, or culture) or noninvasive methods (such as breath tests, stool investigations, or serological tests) can be used. We also present the most recent worldwide recommendations along with scientific evidence for treating H. pylori. In addition to the current antibiotic regimens, alternative therapies may also be considered. It is imperative to eradicate the infections caused by H. pylori as soon as possible to prevent problems and the development of stomach cancer. In conclusion, significant advances have been made in identifying and treating H. pylori. To improve eradication rates, peptide mass fingerprinting can be used as a diagnostic tool, and vaccines can also eliminate the infection.","author":[{"dropping-particle":"","family":"Elbehiry","given":"Ayman","non-dropping-particle":"","parse-names":false,"suffix":""},{"dropping-particle":"","family":"Marzouk","given":"Eman","non-dropping-particle":"","parse-names":false,"suffix":""},{"dropping-particle":"","family":"Aldubaib","given":"Musaad","non-dropping-particle":"","parse-names":false,"suffix":""},{"dropping-particle":"","family":"Abalkhail","given":"Adil","non-dropping-particle":"","parse-names":false,"suffix":""},{"dropping-particle":"","family":"Anagreyyah","given":"Sulaiman","non-dropping-particle":"","parse-names":false,"suffix":""},{"dropping-particle":"","family":"Anajirih","given":"Nuha","non-dropping-particle":"","parse-names":false,"suffix":""},{"dropping-particle":"","family":"Almuzaini","given":"Abdulaziz M","non-dropping-particle":"","parse-names":false,"suffix":""},{"dropping-particle":"","family":"Rawway","given":"Mohammed","non-dropping-particle":"","parse-names":false,"suffix":""},{"dropping-particle":"","family":"Alfadhel","given":"Abdulmajeed","non-dropping-particle":"","parse-names":false,"suffix":""},{"dropping-particle":"","family":"Draz","given":"Abdelmaged","non-dropping-particle":"","parse-names":false,"suffix":""},{"dropping-particle":"","family":"Abu-Okail","given":"Akram","non-dropping-particle":"","parse-names":false,"suffix":""}],"container-title":"Antibiotics (Basel, Switzerland)","id":"ITEM-1","issue":"2","issued":{"date-parts":[["2023","1"]]},"language":"eng","publisher-place":"Switzerland","title":"Helicobacter pylori Infection: Current Status and Future Prospects on Diagnostic,  Therapeutic and Control Challenges.","type":"article-journal","volume":"12"},"uris":["http://www.mendeley.com/documents/?uuid=14eee691-b5d5-4cdd-9312-6fe13aa17de8"]}],"mendeley":{"formattedCitation":"(5)","manualFormatting":"[5]","plainTextFormattedCitation":"(5)","previouslyFormattedCitation":"(5)"},"properties":{"noteIndex":0},"schema":"https://github.com/citation-style-language/schema/raw/master/csl-citation.json"}</w:instrText>
      </w:r>
      <w:r w:rsidRPr="00574CD6">
        <w:fldChar w:fldCharType="separate"/>
      </w:r>
      <w:r w:rsidR="0083209D">
        <w:t>[</w:t>
      </w:r>
      <w:r w:rsidRPr="00574CD6">
        <w:t>5</w:t>
      </w:r>
      <w:r w:rsidR="0083209D">
        <w:t>]</w:t>
      </w:r>
      <w:r w:rsidRPr="00574CD6">
        <w:rPr>
          <w:lang w:val="id-ID"/>
        </w:rPr>
        <w:fldChar w:fldCharType="end"/>
      </w:r>
      <w:r w:rsidRPr="00574CD6">
        <w:t xml:space="preserve">. CRC is the third most common cancer worldwide and a leading cause of cancer-related mortality, with both genetic and environmental factors contributing to its pathogenesis </w:t>
      </w:r>
      <w:r w:rsidRPr="00574CD6">
        <w:fldChar w:fldCharType="begin" w:fldLock="1"/>
      </w:r>
      <w:r>
        <w:instrText>ADDIN CSL_CITATION {"citationItems":[{"id":"ITEM-1","itemData":{"DOI":"10.3322/caac.21660","ISSN":"1542-4863 (Electronic)","PMID":"33538338","abstract":"This article provides an update on the global cancer burden using the GLOBOCAN  2020 estimates of cancer incidence and mortality produced by the International Agency for Research on Cancer. Worldwide, an estimated 19.3 million new cancer cases (18.1 million excluding nonmelanoma skin cancer) and almost 10.0 million cancer deaths (9.9 million excluding nonmelanoma skin cancer) occurred in 2020. Female breast cancer has surpassed lung cancer as the most commonly diagnosed cancer, with an estimated 2.3 million new cases (11.7%), followed by lung (11.4%), colorectal (10.0 %), prostate (7.3%), and stomach (5.6%) cancers. Lung cancer remained the leading cause of cancer death, with an estimated 1.8 million deaths (18%), followed by colorectal (9.4%), liver (8.3%), stomach (7.7%), and female breast (6.9%) cancers. Overall incidence was from 2-fold to 3-fold higher in transitioned versus transitioning countries for both sexes, whereas mortality varied &lt;2-fold for men and little for women. Death rates for female breast and cervical cancers, however, were considerably higher in transitioning versus transitioned countries (15.0 vs 12.8 per 100,000 and 12.4 vs 5.2 per 100,000, respectively). The global cancer burden is expected to be 28.4 million cases in 2040, a 47% rise from 2020, with a larger increase in transitioning (64% to 95%) versus transitioned (32% to 56%) countries due to demographic changes, although this may be further exacerbated by increasing risk factors associated with globalization and a growing economy. Efforts to build a sustainable infrastructure for the dissemination of cancer prevention measures and provision of cancer care in transitioning countries is critical for global cancer control.","author":[{"dropping-particle":"","family":"Sung","given":"Hyuna","non-dropping-particle":"","parse-names":false,"suffix":""},{"dropping-particle":"","family":"Ferlay","given":"Jacques","non-dropping-particle":"","parse-names":false,"suffix":""},{"dropping-particle":"","family":"Siegel","given":"Rebecca L","non-dropping-particle":"","parse-names":false,"suffix":""},{"dropping-particle":"","family":"Laversanne","given":"Mathieu","non-dropping-particle":"","parse-names":false,"suffix":""},{"dropping-particle":"","family":"Soerjomataram","given":"Isabelle","non-dropping-particle":"","parse-names":false,"suffix":""},{"dropping-particle":"","family":"Jemal","given":"Ahmedin","non-dropping-particle":"","parse-names":false,"suffix":""},{"dropping-particle":"","family":"Bray","given":"Freddie","non-dropping-particle":"","parse-names":false,"suffix":""}],"container-title":"CA: a cancer journal for clinicians","id":"ITEM-1","issue":"3","issued":{"date-parts":[["2021","5"]]},"language":"eng","page":"209-249","publisher-place":"United States","title":"Global Cancer Statistics 2020: GLOBOCAN Estimates of Incidence and Mortality  Worldwide for 36 Cancers in 185 Countries.","type":"article-journal","volume":"71"},"uris":["http://www.mendeley.com/documents/?uuid=b2d6d1a8-a185-44b6-9286-47a714efdcd5"]}],"mendeley":{"formattedCitation":"(6)","manualFormatting":"[6]","plainTextFormattedCitation":"(6)","previouslyFormattedCitation":"(6)"},"properties":{"noteIndex":0},"schema":"https://github.com/citation-style-language/schema/raw/master/csl-citation.json"}</w:instrText>
      </w:r>
      <w:r w:rsidRPr="00574CD6">
        <w:fldChar w:fldCharType="separate"/>
      </w:r>
      <w:r>
        <w:t>[</w:t>
      </w:r>
      <w:r w:rsidRPr="00574CD6">
        <w:t>6</w:t>
      </w:r>
      <w:r>
        <w:t>]</w:t>
      </w:r>
      <w:r w:rsidRPr="00574CD6">
        <w:rPr>
          <w:lang w:val="id-ID"/>
        </w:rPr>
        <w:fldChar w:fldCharType="end"/>
      </w:r>
      <w:r w:rsidRPr="00574CD6">
        <w:t>. The possible association between </w:t>
      </w:r>
      <w:r w:rsidRPr="00574CD6">
        <w:rPr>
          <w:i/>
          <w:iCs/>
        </w:rPr>
        <w:t>H. pylori</w:t>
      </w:r>
      <w:r w:rsidRPr="00574CD6">
        <w:t xml:space="preserve"> and CRC has garnered increasing attention, given the bacterium’s ability to induce chronic inflammation, alter gut microbiota, and promote carcinogenic pathways </w:t>
      </w:r>
      <w:r w:rsidRPr="00574CD6">
        <w:fldChar w:fldCharType="begin" w:fldLock="1"/>
      </w:r>
      <w:r>
        <w:instrText>ADDIN CSL_CITATION {"citationItems":[{"id":"ITEM-1","itemData":{"DOI":"10.1371/journal.ppat.1007861","ISSN":"1553-7374 (Electronic)","PMID":"31393968","author":[{"dropping-particle":"","family":"Butt","given":"Julia","non-dropping-particle":"","parse-names":false,"suffix":""},{"dropping-particle":"","family":"Epplein","given":"Meira","non-dropping-particle":"","parse-names":false,"suffix":""}],"container-title":"PLoS pathogens","id":"ITEM-1","issue":"8","issued":{"date-parts":[["2019","8"]]},"language":"eng","page":"e1007861","publisher-place":"United States","title":"Helicobacter pylori and colorectal cancer-A bacterium going abroad?","type":"article-journal","volume":"15"},"uris":["http://www.mendeley.com/documents/?uuid=04919898-9d70-4bd8-87c0-ba6293853608"]}],"mendeley":{"formattedCitation":"(7)","manualFormatting":"[7]","plainTextFormattedCitation":"(7)","previouslyFormattedCitation":"(7)"},"properties":{"noteIndex":0},"schema":"https://github.com/citation-style-language/schema/raw/master/csl-citation.json"}</w:instrText>
      </w:r>
      <w:r w:rsidRPr="00574CD6">
        <w:fldChar w:fldCharType="separate"/>
      </w:r>
      <w:r>
        <w:t>[</w:t>
      </w:r>
      <w:r w:rsidRPr="00574CD6">
        <w:t>7</w:t>
      </w:r>
      <w:r>
        <w:t>]</w:t>
      </w:r>
      <w:r w:rsidRPr="00574CD6">
        <w:rPr>
          <w:lang w:val="id-ID"/>
        </w:rPr>
        <w:fldChar w:fldCharType="end"/>
      </w:r>
      <w:r w:rsidRPr="00574CD6">
        <w:t>.</w:t>
      </w:r>
      <w:r w:rsidR="00515B6E">
        <w:t xml:space="preserve"> </w:t>
      </w:r>
    </w:p>
    <w:p w14:paraId="2E43AD57" w14:textId="211B2913" w:rsidR="006458BE" w:rsidRPr="00515B6E" w:rsidRDefault="006458BE" w:rsidP="00515B6E">
      <w:pPr>
        <w:jc w:val="both"/>
        <w:rPr>
          <w:sz w:val="12"/>
          <w:szCs w:val="12"/>
        </w:rPr>
      </w:pPr>
    </w:p>
    <w:p w14:paraId="22B4934F" w14:textId="68B43270" w:rsidR="0083209D" w:rsidRDefault="0083209D" w:rsidP="00515B6E">
      <w:pPr>
        <w:jc w:val="both"/>
      </w:pPr>
      <w:r w:rsidRPr="0083209D">
        <w:lastRenderedPageBreak/>
        <w:t xml:space="preserve">Colorectal cancer (CRC), which comprises colon and/or rectum cancer, represents a significant health problem as the world’s third most commonly diagnosed and second most fatal cancer globally Approximately 9.4% of cancer-related deaths were due to CRC in 2020 </w:t>
      </w:r>
      <w:r w:rsidRPr="0083209D">
        <w:fldChar w:fldCharType="begin" w:fldLock="1"/>
      </w:r>
      <w:r w:rsidRPr="0083209D">
        <w:instrText>ADDIN CSL_CITATION {"citationItems":[{"id":"ITEM-1","itemData":{"DOI":"10.3390/cancers14071732","ISSN":"2072-6694 (Print)","PMID":"35406504","abstract":"Colorectal cancer (CRC) is the second most deadly cancer. Global incidence and  mortality are likely to be increased in the coming decades. Although the deaths associated with CRC are very high in high-income countries, the incidence and fatalities related to CRC are growing in developing countries too. CRC detected early is entirely curable by surgery and subsequent medications. However, the recurrence rate is high, and cancer drug resistance increases the treatment failure rate. Access to early diagnosis and treatment of CRC for survival is somewhat possible in developed countries. However, these facilities are rarely available in developing countries. Highlighting the current status of CRC, its development, risk factors, and management is crucial in creating public awareness. Therefore, in this review, we have comprehensively discussed the current global epidemiology, drug resistance, challenges, risk factors, and preventive and treatment strategies of CRC. Additionally, there is a brief discussion on the CRC development pathways and recommendations for preventing and treating CRC.","author":[{"dropping-particle":"","family":"Hossain","given":"Md Sanower","non-dropping-particle":"","parse-names":false,"suffix":""},{"dropping-particle":"","family":"Karuniawati","given":"Hidayah","non-dropping-particle":"","parse-names":false,"suffix":""},{"dropping-particle":"","family":"Jairoun","given":"Ammar Abdulrahman","non-dropping-particle":"","parse-names":false,"suffix":""},{"dropping-particle":"","family":"Urbi","given":"Zannat","non-dropping-particle":"","parse-names":false,"suffix":""},{"dropping-particle":"","family":"Ooi","given":"Der Jiun","non-dropping-particle":"","parse-names":false,"suffix":""},{"dropping-particle":"","family":"John","given":"Akbar","non-dropping-particle":"","parse-names":false,"suffix":""},{"dropping-particle":"","family":"Lim","given":"Ya Chee","non-dropping-particle":"","parse-names":false,"suffix":""},{"dropping-particle":"","family":"Kibria","given":"K M Kaderi","non-dropping-particle":"","parse-names":false,"suffix":""},{"dropping-particle":"","family":"Mohiuddin","given":"A K M","non-dropping-particle":"","parse-names":false,"suffix":""},{"dropping-particle":"","family":"Ming","given":"Long Chiau","non-dropping-particle":"","parse-names":false,"suffix":""},{"dropping-particle":"","family":"Goh","given":"Khang Wen","non-dropping-particle":"","parse-names":false,"suffix":""},{"dropping-particle":"","family":"Hadi","given":"Muhammad Abdul","non-dropping-particle":"","parse-names":false,"suffix":""}],"container-title":"Cancers","id":"ITEM-1","issue":"7","issued":{"date-parts":[["2022","3"]]},"language":"eng","publisher-place":"Switzerland","title":"Colorectal Cancer: A Review of Carcinogenesis, Global Epidemiology, Current  Challenges, Risk Factors, Preventive and Treatment Strategies.","type":"article-journal","volume":"14"},"uris":["http://www.mendeley.com/documents/?uuid=7a2ed198-a826-4e07-9f07-f8df285296eb"]}],"mendeley":{"formattedCitation":"[8]","plainTextFormattedCitation":"[8]","previouslyFormattedCitation":"[8]"},"properties":{"noteIndex":0},"schema":"https://github.com/citation-style-language/schema/raw/master/csl-citation.json"}</w:instrText>
      </w:r>
      <w:r w:rsidRPr="0083209D">
        <w:fldChar w:fldCharType="separate"/>
      </w:r>
      <w:r w:rsidRPr="0083209D">
        <w:t>[8]</w:t>
      </w:r>
      <w:r w:rsidRPr="0083209D">
        <w:rPr>
          <w:lang w:val="id-ID"/>
        </w:rPr>
        <w:fldChar w:fldCharType="end"/>
      </w:r>
      <w:r w:rsidRPr="0083209D">
        <w:t xml:space="preserve">. However, in light of the significant increase in the number of identified cases in the older population, it is estimated that the global incidence of CRC will more than double by 2035, with the most significant increase occurring in less developed nations </w:t>
      </w:r>
      <w:r w:rsidRPr="0083209D">
        <w:fldChar w:fldCharType="begin" w:fldLock="1"/>
      </w:r>
      <w:r w:rsidRPr="0083209D">
        <w:instrText>ADDIN CSL_CITATION {"citationItems":[{"id":"ITEM-1","itemData":{"DOI":"10.3390/cancers14071732","ISSN":"2072-6694 (Print)","PMID":"35406504","abstract":"Colorectal cancer (CRC) is the second most deadly cancer. Global incidence and  mortality are likely to be increased in the coming decades. Although the deaths associated with CRC are very high in high-income countries, the incidence and fatalities related to CRC are growing in developing countries too. CRC detected early is entirely curable by surgery and subsequent medications. However, the recurrence rate is high, and cancer drug resistance increases the treatment failure rate. Access to early diagnosis and treatment of CRC for survival is somewhat possible in developed countries. However, these facilities are rarely available in developing countries. Highlighting the current status of CRC, its development, risk factors, and management is crucial in creating public awareness. Therefore, in this review, we have comprehensively discussed the current global epidemiology, drug resistance, challenges, risk factors, and preventive and treatment strategies of CRC. Additionally, there is a brief discussion on the CRC development pathways and recommendations for preventing and treating CRC.","author":[{"dropping-particle":"","family":"Hossain","given":"Md Sanower","non-dropping-particle":"","parse-names":false,"suffix":""},{"dropping-particle":"","family":"Karuniawati","given":"Hidayah","non-dropping-particle":"","parse-names":false,"suffix":""},{"dropping-particle":"","family":"Jairoun","given":"Ammar Abdulrahman","non-dropping-particle":"","parse-names":false,"suffix":""},{"dropping-particle":"","family":"Urbi","given":"Zannat","non-dropping-particle":"","parse-names":false,"suffix":""},{"dropping-particle":"","family":"Ooi","given":"Der Jiun","non-dropping-particle":"","parse-names":false,"suffix":""},{"dropping-particle":"","family":"John","given":"Akbar","non-dropping-particle":"","parse-names":false,"suffix":""},{"dropping-particle":"","family":"Lim","given":"Ya Chee","non-dropping-particle":"","parse-names":false,"suffix":""},{"dropping-particle":"","family":"Kibria","given":"K M Kaderi","non-dropping-particle":"","parse-names":false,"suffix":""},{"dropping-particle":"","family":"Mohiuddin","given":"A K M","non-dropping-particle":"","parse-names":false,"suffix":""},{"dropping-particle":"","family":"Ming","given":"Long Chiau","non-dropping-particle":"","parse-names":false,"suffix":""},{"dropping-particle":"","family":"Goh","given":"Khang Wen","non-dropping-particle":"","parse-names":false,"suffix":""},{"dropping-particle":"","family":"Hadi","given":"Muhammad Abdul","non-dropping-particle":"","parse-names":false,"suffix":""}],"container-title":"Cancers","id":"ITEM-1","issue":"7","issued":{"date-parts":[["2022","3"]]},"language":"eng","publisher-place":"Switzerland","title":"Colorectal Cancer: A Review of Carcinogenesis, Global Epidemiology, Current  Challenges, Risk Factors, Preventive and Treatment Strategies.","type":"article-journal","volume":"14"},"uris":["http://www.mendeley.com/documents/?uuid=7a2ed198-a826-4e07-9f07-f8df285296eb"]}],"mendeley":{"formattedCitation":"[8]","plainTextFormattedCitation":"[8]","previouslyFormattedCitation":"[8]"},"properties":{"noteIndex":0},"schema":"https://github.com/citation-style-language/schema/raw/master/csl-citation.json"}</w:instrText>
      </w:r>
      <w:r w:rsidRPr="0083209D">
        <w:fldChar w:fldCharType="separate"/>
      </w:r>
      <w:r w:rsidRPr="0083209D">
        <w:t>[8]</w:t>
      </w:r>
      <w:r w:rsidRPr="0083209D">
        <w:rPr>
          <w:lang w:val="id-ID"/>
        </w:rPr>
        <w:fldChar w:fldCharType="end"/>
      </w:r>
      <w:r w:rsidRPr="0083209D">
        <w:t>.</w:t>
      </w:r>
      <w:r w:rsidR="00515B6E">
        <w:t xml:space="preserve"> </w:t>
      </w:r>
    </w:p>
    <w:p w14:paraId="65181A42" w14:textId="77777777" w:rsidR="00515B6E" w:rsidRPr="00515B6E" w:rsidRDefault="00515B6E" w:rsidP="00515B6E">
      <w:pPr>
        <w:jc w:val="both"/>
        <w:rPr>
          <w:sz w:val="12"/>
          <w:szCs w:val="12"/>
        </w:rPr>
      </w:pPr>
    </w:p>
    <w:p w14:paraId="282A5209" w14:textId="77777777" w:rsidR="0083209D" w:rsidRPr="007D7B73" w:rsidRDefault="0083209D" w:rsidP="00515B6E">
      <w:pPr>
        <w:jc w:val="both"/>
        <w:rPr>
          <w:bCs/>
        </w:rPr>
      </w:pPr>
      <w:r w:rsidRPr="007D7B73">
        <w:rPr>
          <w:bCs/>
        </w:rPr>
        <w:t xml:space="preserve">CRC develops when epithelial cells acquire a series of genetic or epigenetic changes that enable them to be </w:t>
      </w:r>
      <w:proofErr w:type="spellStart"/>
      <w:r w:rsidRPr="007D7B73">
        <w:rPr>
          <w:bCs/>
        </w:rPr>
        <w:t>hyperproliferative</w:t>
      </w:r>
      <w:proofErr w:type="spellEnd"/>
      <w:r w:rsidRPr="007D7B73">
        <w:rPr>
          <w:bCs/>
        </w:rPr>
        <w:t xml:space="preserve"> </w:t>
      </w:r>
      <w:r w:rsidRPr="007D7B73">
        <w:rPr>
          <w:bCs/>
        </w:rPr>
        <w:fldChar w:fldCharType="begin" w:fldLock="1"/>
      </w:r>
      <w:r w:rsidRPr="007D7B73">
        <w:rPr>
          <w:bCs/>
        </w:rPr>
        <w:instrText>ADDIN CSL_CITATION {"citationItems":[{"id":"ITEM-1","itemData":{"DOI":"10.3390/medsci6020031","ISSN":"2076-3271 (Electronic)","PMID":"29652830","abstract":"Colon cancer is the third most common cancer worldwide. Most colorectal cancer  occurrences are sporadic, not related to genetic predisposition or family history; however, 20-30% of patients with colorectal cancer have a family history of colorectal cancer and 5% of these tumors arise in the setting of a Mendelian inheritance syndrome. In many patients, the development of a colorectal cancer is preceded by a benign neoplastic lesion: either an adenomatous polyp or a serrated polyp. Studies carried out in the last years have characterized the main molecular alterations occurring in colorectal cancers, showing that the tumor of each patient displays from two to eight driver mutations. The ensemble of molecular studies, including gene expression studies, has led to two proposed classifications of colorectal cancers, with the identification of four/five non-overlapping groups. The homeostasis of the rapidly renewing intestinal epithelium is ensured by few stem cells present at the level of the base of intestinal crypts. Various experimental evidence suggests that colorectal cancers may derive from the malignant transformation of intestinal stem cells or of intestinal cells that acquire stem cell properties following malignant transformation. Colon cancer stem cells seem to be involved in tumor chemoresistance, radioresistance and relapse.","author":[{"dropping-particle":"","family":"Testa","given":"Ugo","non-dropping-particle":"","parse-names":false,"suffix":""},{"dropping-particle":"","family":"Pelosi","given":"Elvira","non-dropping-particle":"","parse-names":false,"suffix":""},{"dropping-particle":"","family":"Castelli","given":"Germana","non-dropping-particle":"","parse-names":false,"suffix":""}],"container-title":"Medical sciences (Basel, Switzerland)","id":"ITEM-1","issue":"2","issued":{"date-parts":[["2018","4"]]},"language":"eng","publisher-place":"Switzerland","title":"Colorectal cancer: genetic abnormalities, tumor progression, tumor heterogeneity,  clonal evolution and tumor-initiating cells.","type":"article-journal","volume":"6"},"uris":["http://www.mendeley.com/documents/?uuid=8b38abb8-8bb8-43df-b379-81bacf3f0691"]}],"mendeley":{"formattedCitation":"[9]","plainTextFormattedCitation":"[9]","previouslyFormattedCitation":"[9]"},"properties":{"noteIndex":0},"schema":"https://github.com/citation-style-language/schema/raw/master/csl-citation.json"}</w:instrText>
      </w:r>
      <w:r w:rsidRPr="007D7B73">
        <w:rPr>
          <w:bCs/>
        </w:rPr>
        <w:fldChar w:fldCharType="separate"/>
      </w:r>
      <w:r w:rsidRPr="007D7B73">
        <w:rPr>
          <w:bCs/>
        </w:rPr>
        <w:t>[9]</w:t>
      </w:r>
      <w:r w:rsidRPr="007D7B73">
        <w:rPr>
          <w:bCs/>
        </w:rPr>
        <w:fldChar w:fldCharType="end"/>
      </w:r>
      <w:r w:rsidRPr="007D7B73">
        <w:rPr>
          <w:bCs/>
        </w:rPr>
        <w:t xml:space="preserve">. These rapidly developing cells form a benign adenoma, which can advance to cancer and metastasize via several distinct pathways, including microsatellite instability (MSI), chromosomal instability (CIN), and serrated neoplasia </w:t>
      </w:r>
      <w:r w:rsidRPr="007D7B73">
        <w:rPr>
          <w:bCs/>
        </w:rPr>
        <w:fldChar w:fldCharType="begin" w:fldLock="1"/>
      </w:r>
      <w:r w:rsidRPr="007D7B73">
        <w:rPr>
          <w:bCs/>
        </w:rPr>
        <w:instrText>ADDIN CSL_CITATION {"citationItems":[{"id":"ITEM-1","itemData":{"DOI":"10.1056/NEJM198809013190901","ISSN":"0028-4793 (Print)","PMID":"2841597","abstract":"Because most colorectal carcinomas appear to arise from adenomas, studies of  different stages of colorectal neoplasia may shed light on the genetic alterations involved in tumor progression. We looked for four genetic alterations (ras-gene mutations and allelic deletions of chromosomes 5, 17, and 18) in 172 colorectal-tumor specimens representing various stages of neoplastic development. The specimens consisted of 40 predominantly early-stage adenomas from 7 patients with familial adenomatous polyposis, 40 adenomas (19 without associated foci of carcinoma and 21 with such foci) from 33 patients without familial polyposis, and 92 carcinomas resected from 89 patients. We found that ras-gene mutations occurred in 58 percent of adenomas larger than 1 cm and in 47 percent of carcinomas. However, ras mutations were found in only 9 percent of adenomas under 1 cm in size. Sequences on chromosome 5 that are linked to the gene for familial adenomatous polyposis were not lost in adenomas from the patients with polyposis but were lost in 29 to 35 percent of adenomas and carcinomas, respectively, from other patients. A specific region of chromosome 18 was deleted frequently in carcinomas (73 percent) and in advanced adenomas (47 percent) but only occasionally in earlier-stage adenomas (11 to 13 percent). Chromosome 17p sequences were usually lost only in carcinomas (75 percent). The four molecular alterations accumulated in a fashion that paralleled the clinical progression of tumors. These results are consistent with a model of colorectal tumorigenesis in which the steps required for the development of cancer often involve the mutational activation of an oncogene coupled with the loss of several genes that normally suppress tumorigenesis.","author":[{"dropping-particle":"","family":"Vogelstein","given":"B","non-dropping-particle":"","parse-names":false,"suffix":""},{"dropping-particle":"","family":"Fearon","given":"E R","non-dropping-particle":"","parse-names":false,"suffix":""},{"dropping-particle":"","family":"Hamilton","given":"S R","non-dropping-particle":"","parse-names":false,"suffix":""},{"dropping-particle":"","family":"Kern","given":"S E","non-dropping-particle":"","parse-names":false,"suffix":""},{"dropping-particle":"","family":"Preisinger","given":"A C","non-dropping-particle":"","parse-names":false,"suffix":""},{"dropping-particle":"","family":"Leppert","given":"M","non-dropping-particle":"","parse-names":false,"suffix":""},{"dropping-particle":"","family":"Nakamura","given":"Y","non-dropping-particle":"","parse-names":false,"suffix":""},{"dropping-particle":"","family":"White","given":"R","non-dropping-particle":"","parse-names":false,"suffix":""},{"dropping-particle":"","family":"Smits","given":"A M","non-dropping-particle":"","parse-names":false,"suffix":""},{"dropping-particle":"","family":"Bos","given":"J L","non-dropping-particle":"","parse-names":false,"suffix":""}],"container-title":"The New England journal of medicine","id":"ITEM-1","issue":"9","issued":{"date-parts":[["1988","9"]]},"language":"eng","page":"525-532","publisher-place":"United States","title":"Genetic alterations during colorectal-tumor development.","type":"article-journal","volume":"319"},"uris":["http://www.mendeley.com/documents/?uuid=917a84ca-6f08-4802-993e-26012b0d1d04"]}],"mendeley":{"formattedCitation":"[10]","plainTextFormattedCitation":"[10]","previouslyFormattedCitation":"[10]"},"properties":{"noteIndex":0},"schema":"https://github.com/citation-style-language/schema/raw/master/csl-citation.json"}</w:instrText>
      </w:r>
      <w:r w:rsidRPr="007D7B73">
        <w:rPr>
          <w:bCs/>
        </w:rPr>
        <w:fldChar w:fldCharType="separate"/>
      </w:r>
      <w:r w:rsidRPr="007D7B73">
        <w:rPr>
          <w:bCs/>
        </w:rPr>
        <w:t>[10]</w:t>
      </w:r>
      <w:r w:rsidRPr="007D7B73">
        <w:rPr>
          <w:bCs/>
        </w:rPr>
        <w:fldChar w:fldCharType="end"/>
      </w:r>
      <w:r w:rsidRPr="007D7B73">
        <w:rPr>
          <w:bCs/>
        </w:rPr>
        <w:t>.</w:t>
      </w:r>
    </w:p>
    <w:p w14:paraId="7A99DAA3" w14:textId="77777777" w:rsidR="0083209D" w:rsidRPr="007D7B73" w:rsidRDefault="0083209D" w:rsidP="00515B6E">
      <w:pPr>
        <w:jc w:val="both"/>
        <w:rPr>
          <w:bCs/>
          <w:sz w:val="12"/>
          <w:szCs w:val="12"/>
        </w:rPr>
      </w:pPr>
    </w:p>
    <w:p w14:paraId="7B65A855" w14:textId="0E8E1AF7" w:rsidR="0083209D" w:rsidRPr="0083209D" w:rsidRDefault="0083209D" w:rsidP="00515B6E">
      <w:pPr>
        <w:jc w:val="both"/>
        <w:rPr>
          <w:b/>
        </w:rPr>
      </w:pPr>
      <w:r w:rsidRPr="007D7B73">
        <w:rPr>
          <w:bCs/>
        </w:rPr>
        <w:t xml:space="preserve">CRC’s pathogenesis lie aberrant signaling pathways that drive tumorigenesis, sustain cancer cell proliferation, and enable metastatic dissemination [11]. These pathways, which include the </w:t>
      </w:r>
      <w:proofErr w:type="spellStart"/>
      <w:r w:rsidRPr="007D7B73">
        <w:rPr>
          <w:bCs/>
        </w:rPr>
        <w:t>Wnt</w:t>
      </w:r>
      <w:proofErr w:type="spellEnd"/>
      <w:r w:rsidRPr="007D7B73">
        <w:rPr>
          <w:bCs/>
        </w:rPr>
        <w:t xml:space="preserve">/β-catenin, RAS/RAF/MEK/ERK, phosphoinositide 3-kinase (PI3K)/AKT, and transforming growth factor-beta (TGF-β) circuits, among others, are often dysregulated by a confluence of genetic mutations (means somatic variants or germline variants), such as adenomatous polyposis coli (APC), </w:t>
      </w:r>
      <w:proofErr w:type="spellStart"/>
      <w:r w:rsidRPr="007D7B73">
        <w:rPr>
          <w:bCs/>
        </w:rPr>
        <w:t>kirsten</w:t>
      </w:r>
      <w:proofErr w:type="spellEnd"/>
      <w:r w:rsidRPr="007D7B73">
        <w:rPr>
          <w:bCs/>
        </w:rPr>
        <w:t xml:space="preserve"> rat sarcoma viral oncogene homolog (KRAS), and PIK3CA</w:t>
      </w:r>
      <w:r w:rsidR="00441FC8">
        <w:rPr>
          <w:bCs/>
        </w:rPr>
        <w:t xml:space="preserve"> </w:t>
      </w:r>
      <w:r w:rsidRPr="007D7B73">
        <w:rPr>
          <w:bCs/>
        </w:rPr>
        <w:t>[12]. The intricate network of signaling cascades they form dictates not only the malignant phenotype but also the immune response and the tumor microenvironment (TME), influencing the efficacy of therapeutic interventions</w:t>
      </w:r>
      <w:r w:rsidR="00441FC8">
        <w:rPr>
          <w:bCs/>
        </w:rPr>
        <w:t xml:space="preserve"> </w:t>
      </w:r>
      <w:r w:rsidRPr="007D7B73">
        <w:rPr>
          <w:bCs/>
        </w:rPr>
        <w:fldChar w:fldCharType="begin" w:fldLock="1"/>
      </w:r>
      <w:r w:rsidRPr="007D7B73">
        <w:rPr>
          <w:bCs/>
        </w:rPr>
        <w:instrText>ADDIN CSL_CITATION {"citationItems":[{"id":"ITEM-1","itemData":{"DOI":"10.1038/s41392-024-01953-7","ISSN":"2059-3635 (Electronic)","PMID":"39370455","abstract":"Colorectal cancer (CRC) remains one of the leading causes of cancer-related  mortality worldwide. Its complexity is influenced by various signal transduction networks that govern cellular proliferation, survival, differentiation, and apoptosis. The pathogenesis of CRC is a testament to the dysregulation of these signaling cascades, which culminates in the malignant transformation of colonic epithelium. This review aims to dissect the foundational signaling mechanisms implicated in CRC, to elucidate the generalized principles underpinning neoplastic evolution and progression. We discuss the molecular hallmarks of CRC, including the genomic, epigenomic and microbial features of CRC to highlight the role of signal transduction in the orchestration of the tumorigenic process. Concurrently, we review the advent of targeted and immune therapies in CRC, assessing their impact on the current clinical landscape. The development of these therapies has been informed by a deepening understanding of oncogenic signaling, leading to the identification of key nodes within these networks that can be exploited pharmacologically. Furthermore, we explore the potential of integrating AI to enhance the precision of therapeutic targeting and patient stratification, emphasizing their role in personalized medicine. In summary, our review captures the dynamic interplay between aberrant signaling in CRC pathogenesis and the concerted efforts to counteract these changes through targeted therapeutic strategies, ultimately aiming to pave the way for improved prognosis and personalized treatment modalities in colorectal cancer.","author":[{"dropping-particle":"","family":"Li","given":"Qing","non-dropping-particle":"","parse-names":false,"suffix":""},{"dropping-particle":"","family":"Geng","given":"Shan","non-dropping-particle":"","parse-names":false,"suffix":""},{"dropping-particle":"","family":"Luo","given":"Hao","non-dropping-particle":"","parse-names":false,"suffix":""},{"dropping-particle":"","family":"Wang","given":"Wei","non-dropping-particle":"","parse-names":false,"suffix":""},{"dropping-particle":"","family":"Mo","given":"Ya-Qi","non-dropping-particle":"","parse-names":false,"suffix":""},{"dropping-particle":"","family":"Luo","given":"Qing","non-dropping-particle":"","parse-names":false,"suffix":""},{"dropping-particle":"","family":"Wang","given":"Lu","non-dropping-particle":"","parse-names":false,"suffix":""},{"dropping-particle":"","family":"Song","given":"Guan-Bin","non-dropping-particle":"","parse-names":false,"suffix":""},{"dropping-particle":"","family":"Sheng","given":"Jian-Peng","non-dropping-particle":"","parse-names":false,"suffix":""},{"dropping-particle":"","family":"Xu","given":"Bo","non-dropping-particle":"","parse-names":false,"suffix":""}],"container-title":"Signal transduction and targeted therapy","id":"ITEM-1","issue":"1","issued":{"date-parts":[["2024","10"]]},"language":"eng","page":"266","publisher-place":"England","title":"Signaling pathways involved in colorectal cancer: pathogenesis and targeted  therapy.","type":"article-journal","volume":"9"},"uris":["http://www.mendeley.com/documents/?uuid=df575771-6c33-4d49-ba37-442098c56ebf"]}],"mendeley":{"formattedCitation":"[11]","manualFormatting":"[13]","plainTextFormattedCitation":"[11]","previouslyFormattedCitation":"[11]"},"properties":{"noteIndex":0},"schema":"https://github.com/citation-style-language/schema/raw/master/csl-citation.json"}</w:instrText>
      </w:r>
      <w:r w:rsidRPr="007D7B73">
        <w:rPr>
          <w:bCs/>
        </w:rPr>
        <w:fldChar w:fldCharType="separate"/>
      </w:r>
      <w:r w:rsidRPr="007D7B73">
        <w:rPr>
          <w:bCs/>
        </w:rPr>
        <w:t>[13]</w:t>
      </w:r>
      <w:r w:rsidRPr="007D7B73">
        <w:rPr>
          <w:bCs/>
        </w:rPr>
        <w:fldChar w:fldCharType="end"/>
      </w:r>
      <w:r w:rsidRPr="007D7B73">
        <w:rPr>
          <w:bCs/>
        </w:rPr>
        <w:t>.</w:t>
      </w:r>
    </w:p>
    <w:p w14:paraId="483CE229" w14:textId="106CD170" w:rsidR="00574CD6" w:rsidRPr="00515B6E" w:rsidRDefault="00574CD6" w:rsidP="00515B6E">
      <w:pPr>
        <w:jc w:val="both"/>
        <w:rPr>
          <w:b/>
          <w:sz w:val="12"/>
          <w:szCs w:val="12"/>
        </w:rPr>
      </w:pPr>
    </w:p>
    <w:bookmarkEnd w:id="1"/>
    <w:bookmarkEnd w:id="2"/>
    <w:p w14:paraId="159C3390" w14:textId="77777777" w:rsidR="006458BE" w:rsidRPr="00515B6E" w:rsidRDefault="006458BE" w:rsidP="006458BE">
      <w:pPr>
        <w:jc w:val="both"/>
        <w:rPr>
          <w:sz w:val="12"/>
          <w:szCs w:val="12"/>
        </w:rPr>
      </w:pPr>
    </w:p>
    <w:p w14:paraId="309C5AC1" w14:textId="63FFD212" w:rsidR="0035477E" w:rsidRPr="00515B6E" w:rsidRDefault="00515B6E" w:rsidP="00515B6E">
      <w:pPr>
        <w:tabs>
          <w:tab w:val="left" w:pos="426"/>
        </w:tabs>
        <w:rPr>
          <w:b/>
          <w:bCs/>
          <w:sz w:val="22"/>
          <w:szCs w:val="22"/>
          <w:lang w:val="id-ID"/>
        </w:rPr>
      </w:pPr>
      <w:r w:rsidRPr="00515B6E">
        <w:rPr>
          <w:b/>
          <w:bCs/>
          <w:sz w:val="22"/>
          <w:szCs w:val="22"/>
        </w:rPr>
        <w:t xml:space="preserve">2- </w:t>
      </w:r>
      <w:r w:rsidR="0035477E" w:rsidRPr="00515B6E">
        <w:rPr>
          <w:b/>
          <w:bCs/>
          <w:sz w:val="22"/>
          <w:szCs w:val="22"/>
        </w:rPr>
        <w:t>MATERIAL AND METHODS</w:t>
      </w:r>
    </w:p>
    <w:p w14:paraId="69D810F7" w14:textId="77777777" w:rsidR="0035477E" w:rsidRPr="00515B6E" w:rsidRDefault="0035477E" w:rsidP="00515B6E">
      <w:pPr>
        <w:tabs>
          <w:tab w:val="left" w:pos="426"/>
        </w:tabs>
        <w:rPr>
          <w:b/>
          <w:bCs/>
          <w:sz w:val="12"/>
          <w:szCs w:val="12"/>
          <w:lang w:val="en-GB"/>
        </w:rPr>
      </w:pPr>
    </w:p>
    <w:p w14:paraId="0493439F" w14:textId="6D6C1710" w:rsidR="0035477E" w:rsidRPr="008D56E9" w:rsidRDefault="0035477E" w:rsidP="00515B6E">
      <w:pPr>
        <w:ind w:firstLine="720"/>
        <w:jc w:val="both"/>
        <w:rPr>
          <w:lang w:val="en-GB"/>
        </w:rPr>
      </w:pPr>
      <w:bookmarkStart w:id="3" w:name="_Hlk78354310"/>
      <w:r w:rsidRPr="0035477E">
        <w:rPr>
          <w:lang w:val="id-ID"/>
        </w:rPr>
        <w:t>This cross-sectional, observational study was undertaken at the Gastroenterology and Hepatology Teaching Hospital, a tertiary care referral center in Baghdad, Iraq. Aim: To examine the association of Helicobacter pylori (H. pylori) infection with specific histopathological subtypes of colorectal lesions. Forty patients with gastrointestinal symptoms including abdominal pain, changes in bowel habits, rectal bleed, weight loss, or unexplained anemia were enrolled during the study.</w:t>
      </w:r>
      <w:r w:rsidR="008D56E9">
        <w:rPr>
          <w:lang w:val="en-GB"/>
        </w:rPr>
        <w:t xml:space="preserve"> </w:t>
      </w:r>
    </w:p>
    <w:p w14:paraId="2095DD91" w14:textId="77777777" w:rsidR="0035477E" w:rsidRPr="008D56E9" w:rsidRDefault="0035477E" w:rsidP="008D56E9">
      <w:pPr>
        <w:jc w:val="both"/>
        <w:rPr>
          <w:sz w:val="12"/>
          <w:szCs w:val="12"/>
          <w:lang w:val="en-GB"/>
        </w:rPr>
      </w:pPr>
    </w:p>
    <w:p w14:paraId="3474ACBB" w14:textId="13B4A0E7" w:rsidR="006458BE" w:rsidRDefault="0035477E" w:rsidP="008D56E9">
      <w:pPr>
        <w:jc w:val="both"/>
        <w:rPr>
          <w:lang w:val="en-GB"/>
        </w:rPr>
      </w:pPr>
      <w:r w:rsidRPr="0035477E">
        <w:rPr>
          <w:lang w:val="id-ID"/>
        </w:rPr>
        <w:t>Serological assays and tissue-based techniques were used to evaluate the presence of H. pylori and its potential contribution to the development and progression of colorectal cancer (CRC). Validation of diagnostic accuracy of enzyme-linked immunosorbent assay (ELISA) for serum IgG antibodies and immunohistochemistry (IHC) of tissue detection of H. pylori. Demographic information of the patient including age and sex was also collected.</w:t>
      </w:r>
      <w:bookmarkStart w:id="4" w:name="_Hlk78354375"/>
      <w:r w:rsidR="008D56E9">
        <w:rPr>
          <w:lang w:val="en-GB"/>
        </w:rPr>
        <w:t xml:space="preserve"> </w:t>
      </w:r>
    </w:p>
    <w:p w14:paraId="6221D9C7" w14:textId="77777777" w:rsidR="008D56E9" w:rsidRPr="008D56E9" w:rsidRDefault="008D56E9" w:rsidP="008D56E9">
      <w:pPr>
        <w:jc w:val="both"/>
        <w:rPr>
          <w:sz w:val="8"/>
          <w:szCs w:val="8"/>
          <w:lang w:val="en-GB"/>
        </w:rPr>
      </w:pPr>
    </w:p>
    <w:p w14:paraId="71E5BAB4" w14:textId="62A17726" w:rsidR="0035477E" w:rsidRDefault="0035477E" w:rsidP="008D56E9">
      <w:pPr>
        <w:jc w:val="both"/>
        <w:rPr>
          <w:b/>
          <w:bCs/>
        </w:rPr>
      </w:pPr>
      <w:r w:rsidRPr="0035477E">
        <w:rPr>
          <w:b/>
          <w:bCs/>
        </w:rPr>
        <w:t>Sample Collection</w:t>
      </w:r>
      <w:r w:rsidRPr="0035477E">
        <w:rPr>
          <w:b/>
          <w:bCs/>
        </w:rPr>
        <w:t> </w:t>
      </w:r>
      <w:r w:rsidRPr="0035477E">
        <w:rPr>
          <w:b/>
          <w:bCs/>
        </w:rPr>
        <w:t>and Sample Processing:</w:t>
      </w:r>
      <w:r w:rsidR="008D56E9">
        <w:rPr>
          <w:b/>
          <w:bCs/>
        </w:rPr>
        <w:t xml:space="preserve"> </w:t>
      </w:r>
    </w:p>
    <w:p w14:paraId="7AEC9F20" w14:textId="77777777" w:rsidR="008D56E9" w:rsidRPr="008D56E9" w:rsidRDefault="008D56E9" w:rsidP="008D56E9">
      <w:pPr>
        <w:jc w:val="both"/>
        <w:rPr>
          <w:b/>
          <w:bCs/>
          <w:sz w:val="8"/>
          <w:szCs w:val="8"/>
        </w:rPr>
      </w:pPr>
    </w:p>
    <w:p w14:paraId="15388B99" w14:textId="7A3DAAF1" w:rsidR="0035477E" w:rsidRPr="008D56E9" w:rsidRDefault="008D56E9" w:rsidP="008D56E9">
      <w:pPr>
        <w:jc w:val="both"/>
        <w:rPr>
          <w:b/>
          <w:bCs/>
        </w:rPr>
      </w:pPr>
      <w:r w:rsidRPr="008D56E9">
        <w:rPr>
          <w:b/>
          <w:bCs/>
        </w:rPr>
        <w:t xml:space="preserve">- </w:t>
      </w:r>
      <w:r w:rsidR="0035477E" w:rsidRPr="008D56E9">
        <w:rPr>
          <w:b/>
          <w:bCs/>
        </w:rPr>
        <w:t>Blood Samples:</w:t>
      </w:r>
      <w:r w:rsidRPr="008D56E9">
        <w:rPr>
          <w:b/>
          <w:bCs/>
        </w:rPr>
        <w:t xml:space="preserve"> </w:t>
      </w:r>
    </w:p>
    <w:p w14:paraId="7BDA2155" w14:textId="77777777" w:rsidR="008D56E9" w:rsidRPr="008D56E9" w:rsidRDefault="008D56E9" w:rsidP="008D56E9">
      <w:pPr>
        <w:jc w:val="both"/>
        <w:rPr>
          <w:sz w:val="8"/>
          <w:szCs w:val="8"/>
        </w:rPr>
      </w:pPr>
    </w:p>
    <w:p w14:paraId="355017F7" w14:textId="77777777" w:rsidR="0035477E" w:rsidRPr="0035477E" w:rsidRDefault="0035477E" w:rsidP="008D56E9">
      <w:pPr>
        <w:jc w:val="both"/>
      </w:pPr>
      <w:r w:rsidRPr="0035477E">
        <w:t>Peripheral blood was obtained from each participant</w:t>
      </w:r>
      <w:r w:rsidRPr="0035477E">
        <w:t> </w:t>
      </w:r>
      <w:r w:rsidRPr="0035477E">
        <w:t>through routine venipuncture under aseptic conditions. Then, blood was</w:t>
      </w:r>
      <w:r w:rsidRPr="0035477E">
        <w:t> </w:t>
      </w:r>
      <w:r w:rsidRPr="0035477E">
        <w:t>allowed to clot at room temperature for 30 minutes, and samples were centrifuged at 3000 rpm for 10 minutes to isolate serum. The obtained serum aliquots</w:t>
      </w:r>
      <w:r w:rsidRPr="0035477E">
        <w:t> </w:t>
      </w:r>
      <w:r w:rsidRPr="0035477E">
        <w:t>were kept at −20°C for serological analysis later on.</w:t>
      </w:r>
    </w:p>
    <w:p w14:paraId="2AD3E380" w14:textId="77777777" w:rsidR="008D56E9" w:rsidRPr="008D56E9" w:rsidRDefault="008D56E9" w:rsidP="008D56E9">
      <w:pPr>
        <w:jc w:val="both"/>
        <w:rPr>
          <w:sz w:val="8"/>
          <w:szCs w:val="8"/>
        </w:rPr>
      </w:pPr>
    </w:p>
    <w:p w14:paraId="5CB43F16" w14:textId="2813884C" w:rsidR="0035477E" w:rsidRPr="008D56E9" w:rsidRDefault="008D56E9" w:rsidP="008D56E9">
      <w:pPr>
        <w:jc w:val="both"/>
        <w:rPr>
          <w:b/>
          <w:bCs/>
        </w:rPr>
      </w:pPr>
      <w:r w:rsidRPr="008D56E9">
        <w:rPr>
          <w:b/>
          <w:bCs/>
        </w:rPr>
        <w:t xml:space="preserve">- </w:t>
      </w:r>
      <w:r w:rsidR="0035477E" w:rsidRPr="008D56E9">
        <w:rPr>
          <w:b/>
          <w:bCs/>
        </w:rPr>
        <w:t>Tissue Samples:</w:t>
      </w:r>
      <w:r>
        <w:rPr>
          <w:b/>
          <w:bCs/>
        </w:rPr>
        <w:t xml:space="preserve"> </w:t>
      </w:r>
    </w:p>
    <w:p w14:paraId="10609B7C" w14:textId="77777777" w:rsidR="008D56E9" w:rsidRPr="008D56E9" w:rsidRDefault="008D56E9" w:rsidP="008D56E9">
      <w:pPr>
        <w:jc w:val="both"/>
        <w:rPr>
          <w:sz w:val="8"/>
          <w:szCs w:val="8"/>
        </w:rPr>
      </w:pPr>
    </w:p>
    <w:p w14:paraId="09E51F77" w14:textId="6539AFA6" w:rsidR="0035477E" w:rsidRDefault="0035477E" w:rsidP="008D56E9">
      <w:pPr>
        <w:jc w:val="both"/>
      </w:pPr>
      <w:r w:rsidRPr="0035477E">
        <w:t>Colorectal tissue specimens were acquired by endoscopic biopsy</w:t>
      </w:r>
      <w:r w:rsidRPr="0035477E">
        <w:t> </w:t>
      </w:r>
      <w:r w:rsidRPr="0035477E">
        <w:t>or surgical resection according to the clinical presentation and location of the lesion. To</w:t>
      </w:r>
      <w:r w:rsidRPr="0035477E">
        <w:t> </w:t>
      </w:r>
      <w:r w:rsidRPr="0035477E">
        <w:t>make them comfortable, these procedures were usually done under anesthesia. Samples were fixed in 10% neutral buffered</w:t>
      </w:r>
      <w:r w:rsidRPr="0035477E">
        <w:t> </w:t>
      </w:r>
      <w:r w:rsidRPr="0035477E">
        <w:t>formalin (NBF) (for at least 24 h) for morphological and antigenic preservation. Two were</w:t>
      </w:r>
      <w:r w:rsidRPr="0035477E">
        <w:t> </w:t>
      </w:r>
      <w:r w:rsidRPr="0035477E">
        <w:t>then processed and embedded in paraffin (conventional histological protocols). Serial sections 4–5 µm were cut on a microtome and placed on glass</w:t>
      </w:r>
      <w:r w:rsidRPr="0035477E">
        <w:t> </w:t>
      </w:r>
      <w:r w:rsidRPr="0035477E">
        <w:t xml:space="preserve">slides for histological and </w:t>
      </w:r>
      <w:proofErr w:type="spellStart"/>
      <w:r w:rsidRPr="0035477E">
        <w:t>immunohistochemical</w:t>
      </w:r>
      <w:proofErr w:type="spellEnd"/>
      <w:r w:rsidRPr="0035477E">
        <w:t xml:space="preserve"> analysis.</w:t>
      </w:r>
      <w:r w:rsidR="008D56E9">
        <w:t xml:space="preserve"> </w:t>
      </w:r>
    </w:p>
    <w:p w14:paraId="65AC1F96" w14:textId="77777777" w:rsidR="003E60A2" w:rsidRPr="008D56E9" w:rsidRDefault="003E60A2" w:rsidP="008D56E9">
      <w:pPr>
        <w:rPr>
          <w:sz w:val="8"/>
          <w:szCs w:val="8"/>
        </w:rPr>
      </w:pPr>
    </w:p>
    <w:p w14:paraId="1E226D00" w14:textId="77777777" w:rsidR="0035477E" w:rsidRPr="0035477E" w:rsidRDefault="0035477E" w:rsidP="008D56E9">
      <w:pPr>
        <w:jc w:val="both"/>
        <w:rPr>
          <w:b/>
          <w:bCs/>
        </w:rPr>
      </w:pPr>
      <w:r w:rsidRPr="0035477E">
        <w:rPr>
          <w:b/>
          <w:bCs/>
        </w:rPr>
        <w:t>Diagnostic Methods:</w:t>
      </w:r>
    </w:p>
    <w:p w14:paraId="60EE35D2" w14:textId="77777777" w:rsidR="008D56E9" w:rsidRPr="008D56E9" w:rsidRDefault="008D56E9" w:rsidP="008D56E9">
      <w:pPr>
        <w:jc w:val="both"/>
        <w:rPr>
          <w:sz w:val="8"/>
          <w:szCs w:val="8"/>
        </w:rPr>
      </w:pPr>
    </w:p>
    <w:p w14:paraId="29BC4908" w14:textId="03F16D82" w:rsidR="0035477E" w:rsidRPr="008D56E9" w:rsidRDefault="008D56E9" w:rsidP="008D56E9">
      <w:pPr>
        <w:jc w:val="both"/>
        <w:rPr>
          <w:b/>
          <w:bCs/>
        </w:rPr>
      </w:pPr>
      <w:r>
        <w:rPr>
          <w:b/>
          <w:bCs/>
        </w:rPr>
        <w:t xml:space="preserve">- </w:t>
      </w:r>
      <w:r w:rsidR="003E60A2" w:rsidRPr="008D56E9">
        <w:rPr>
          <w:b/>
          <w:bCs/>
        </w:rPr>
        <w:t>A-</w:t>
      </w:r>
      <w:r w:rsidR="0035477E" w:rsidRPr="008D56E9">
        <w:rPr>
          <w:b/>
          <w:bCs/>
        </w:rPr>
        <w:t>Serological Testing:</w:t>
      </w:r>
      <w:r w:rsidRPr="008D56E9">
        <w:rPr>
          <w:b/>
          <w:bCs/>
        </w:rPr>
        <w:t xml:space="preserve"> </w:t>
      </w:r>
    </w:p>
    <w:p w14:paraId="16C44E02" w14:textId="77777777" w:rsidR="008D56E9" w:rsidRPr="008D56E9" w:rsidRDefault="008D56E9" w:rsidP="008D56E9">
      <w:pPr>
        <w:jc w:val="both"/>
        <w:rPr>
          <w:sz w:val="8"/>
          <w:szCs w:val="8"/>
        </w:rPr>
      </w:pPr>
    </w:p>
    <w:p w14:paraId="374A7BF1" w14:textId="73C8E7FC" w:rsidR="0035477E" w:rsidRPr="0035477E" w:rsidRDefault="0035477E" w:rsidP="008D56E9">
      <w:pPr>
        <w:jc w:val="both"/>
      </w:pPr>
      <w:r w:rsidRPr="0035477E">
        <w:t xml:space="preserve">The presence of </w:t>
      </w:r>
      <w:proofErr w:type="spellStart"/>
      <w:r w:rsidRPr="0035477E">
        <w:t>sero</w:t>
      </w:r>
      <w:proofErr w:type="spellEnd"/>
      <w:r w:rsidRPr="0035477E">
        <w:t xml:space="preserve"> H. pylori</w:t>
      </w:r>
      <w:r w:rsidRPr="0035477E">
        <w:t> </w:t>
      </w:r>
      <w:r w:rsidRPr="0035477E">
        <w:t>infection was assessed by IgG antibodies detection of patient serum samples using a commercial ELISA kit (</w:t>
      </w:r>
      <w:proofErr w:type="spellStart"/>
      <w:r w:rsidRPr="0035477E">
        <w:t>Elabscience</w:t>
      </w:r>
      <w:proofErr w:type="spellEnd"/>
      <w:r w:rsidRPr="0035477E">
        <w:t xml:space="preserve"> Biotechnology Co., Ltd., China). The experiment was done</w:t>
      </w:r>
      <w:r w:rsidRPr="0035477E">
        <w:t> </w:t>
      </w:r>
      <w:r w:rsidRPr="0035477E">
        <w:t>as per manufacturer’s instructions. Output results were considered</w:t>
      </w:r>
      <w:r w:rsidRPr="0035477E">
        <w:t> </w:t>
      </w:r>
      <w:r w:rsidRPr="0035477E">
        <w:t>positive or negative according to the cutoff values [</w:t>
      </w:r>
      <w:r w:rsidR="00FF757B">
        <w:t>14</w:t>
      </w:r>
      <w:r w:rsidRPr="0035477E">
        <w:t>].</w:t>
      </w:r>
    </w:p>
    <w:p w14:paraId="3F81A3B1" w14:textId="77777777" w:rsidR="0035477E" w:rsidRDefault="0035477E" w:rsidP="008D56E9">
      <w:pPr>
        <w:jc w:val="both"/>
        <w:rPr>
          <w:sz w:val="8"/>
          <w:szCs w:val="8"/>
        </w:rPr>
      </w:pPr>
    </w:p>
    <w:p w14:paraId="6B71A0A7" w14:textId="1EE26C82" w:rsidR="0035477E" w:rsidRPr="003F148E" w:rsidRDefault="003F148E" w:rsidP="003F148E">
      <w:pPr>
        <w:jc w:val="both"/>
        <w:rPr>
          <w:b/>
          <w:bCs/>
        </w:rPr>
      </w:pPr>
      <w:r w:rsidRPr="003F148E">
        <w:rPr>
          <w:b/>
          <w:bCs/>
        </w:rPr>
        <w:t xml:space="preserve">- </w:t>
      </w:r>
      <w:r w:rsidR="003E60A2" w:rsidRPr="003F148E">
        <w:rPr>
          <w:b/>
          <w:bCs/>
        </w:rPr>
        <w:t>B-</w:t>
      </w:r>
      <w:r w:rsidR="0035477E" w:rsidRPr="003F148E">
        <w:rPr>
          <w:b/>
          <w:bCs/>
        </w:rPr>
        <w:t>Immunohistochemistry (IHC):</w:t>
      </w:r>
      <w:r>
        <w:rPr>
          <w:b/>
          <w:bCs/>
        </w:rPr>
        <w:t xml:space="preserve"> </w:t>
      </w:r>
    </w:p>
    <w:p w14:paraId="6F696A2D" w14:textId="77777777" w:rsidR="003F148E" w:rsidRPr="003F148E" w:rsidRDefault="003F148E" w:rsidP="003F148E">
      <w:pPr>
        <w:jc w:val="both"/>
        <w:rPr>
          <w:sz w:val="12"/>
          <w:szCs w:val="12"/>
        </w:rPr>
      </w:pPr>
    </w:p>
    <w:p w14:paraId="012D2154" w14:textId="3A1B2DF8" w:rsidR="0035477E" w:rsidRPr="0035477E" w:rsidRDefault="0035477E" w:rsidP="003F148E">
      <w:pPr>
        <w:jc w:val="both"/>
      </w:pPr>
      <w:r w:rsidRPr="0035477E">
        <w:t>For histological analysis, tissue sections were first stained</w:t>
      </w:r>
      <w:r w:rsidRPr="0035477E">
        <w:t> </w:t>
      </w:r>
      <w:r w:rsidRPr="0035477E">
        <w:t>with hematoxylin and eosin (H&amp;E). Tissue samples were classified according to standard diagnostic criteria into histopathological subtypes of colorectal lesions: adenocarcinoma, ulcerative</w:t>
      </w:r>
      <w:r w:rsidRPr="0035477E">
        <w:t> </w:t>
      </w:r>
      <w:r w:rsidRPr="0035477E">
        <w:t>colitis (UC), inflammatory lesions, adenomatous polyps, juvenile polyps, rectal ulcers, or others.</w:t>
      </w:r>
      <w:r w:rsidR="003F148E">
        <w:t xml:space="preserve"> </w:t>
      </w:r>
    </w:p>
    <w:p w14:paraId="3B645454" w14:textId="29E19F92" w:rsidR="0035477E" w:rsidRDefault="0035477E" w:rsidP="003F148E">
      <w:pPr>
        <w:jc w:val="both"/>
      </w:pPr>
      <w:proofErr w:type="gramStart"/>
      <w:r w:rsidRPr="0035477E">
        <w:lastRenderedPageBreak/>
        <w:t>Monoclonal anti-H.</w:t>
      </w:r>
      <w:proofErr w:type="gramEnd"/>
      <w:r w:rsidRPr="0035477E">
        <w:t xml:space="preserve"> </w:t>
      </w:r>
      <w:proofErr w:type="gramStart"/>
      <w:r w:rsidRPr="0035477E">
        <w:t>pylori-specific</w:t>
      </w:r>
      <w:proofErr w:type="gramEnd"/>
      <w:r w:rsidRPr="0035477E">
        <w:t xml:space="preserve"> antibodies were used</w:t>
      </w:r>
      <w:r w:rsidRPr="0035477E">
        <w:t> </w:t>
      </w:r>
      <w:r w:rsidRPr="0035477E">
        <w:t xml:space="preserve">for </w:t>
      </w:r>
      <w:proofErr w:type="spellStart"/>
      <w:r w:rsidRPr="0035477E">
        <w:t>immunohistochemical</w:t>
      </w:r>
      <w:proofErr w:type="spellEnd"/>
      <w:r w:rsidRPr="0035477E">
        <w:t xml:space="preserve"> detection of H. pylori in tissue specimens. </w:t>
      </w:r>
      <w:proofErr w:type="gramStart"/>
      <w:r w:rsidRPr="0035477E">
        <w:t>pylori</w:t>
      </w:r>
      <w:proofErr w:type="gramEnd"/>
      <w:r w:rsidRPr="0035477E">
        <w:t xml:space="preserve"> antibodies (</w:t>
      </w:r>
      <w:proofErr w:type="spellStart"/>
      <w:r w:rsidRPr="0035477E">
        <w:t>Abcam</w:t>
      </w:r>
      <w:proofErr w:type="spellEnd"/>
      <w:r w:rsidRPr="0035477E">
        <w:t>,</w:t>
      </w:r>
      <w:r w:rsidRPr="0035477E">
        <w:t> </w:t>
      </w:r>
      <w:r w:rsidRPr="0035477E">
        <w:t>UK) and through a H. 4</w:t>
      </w:r>
      <w:r w:rsidRPr="0035477E">
        <w:t> </w:t>
      </w:r>
      <w:r w:rsidRPr="0035477E">
        <w:t>µm thick FFPE tissue sections were processed for standardized IHC protocol, including:</w:t>
      </w:r>
      <w:r w:rsidR="003F148E">
        <w:t xml:space="preserve"> </w:t>
      </w:r>
    </w:p>
    <w:p w14:paraId="3FBF530B" w14:textId="77777777" w:rsidR="003F148E" w:rsidRPr="003F148E" w:rsidRDefault="003F148E" w:rsidP="003F148E">
      <w:pPr>
        <w:jc w:val="both"/>
        <w:rPr>
          <w:sz w:val="8"/>
          <w:szCs w:val="8"/>
        </w:rPr>
      </w:pPr>
    </w:p>
    <w:p w14:paraId="1303F8EE" w14:textId="77777777" w:rsidR="0035477E" w:rsidRPr="0035477E" w:rsidRDefault="0035477E" w:rsidP="0035477E">
      <w:pPr>
        <w:numPr>
          <w:ilvl w:val="0"/>
          <w:numId w:val="3"/>
        </w:numPr>
        <w:jc w:val="both"/>
      </w:pPr>
      <w:proofErr w:type="spellStart"/>
      <w:r w:rsidRPr="0035477E">
        <w:t>Deparaffinization</w:t>
      </w:r>
      <w:proofErr w:type="spellEnd"/>
      <w:r w:rsidRPr="0035477E">
        <w:t> </w:t>
      </w:r>
      <w:r w:rsidRPr="0035477E">
        <w:t>and rehydration.</w:t>
      </w:r>
    </w:p>
    <w:p w14:paraId="1A717C4F" w14:textId="77777777" w:rsidR="0035477E" w:rsidRPr="0035477E" w:rsidRDefault="0035477E" w:rsidP="0035477E">
      <w:pPr>
        <w:numPr>
          <w:ilvl w:val="0"/>
          <w:numId w:val="3"/>
        </w:numPr>
        <w:jc w:val="both"/>
      </w:pPr>
      <w:r w:rsidRPr="0035477E">
        <w:t>Citrate buffer (pH 6.0) for</w:t>
      </w:r>
      <w:r w:rsidRPr="0035477E">
        <w:t> </w:t>
      </w:r>
      <w:r w:rsidRPr="0035477E">
        <w:t>antigen retrieval</w:t>
      </w:r>
    </w:p>
    <w:p w14:paraId="0EBA9EDF" w14:textId="77777777" w:rsidR="0035477E" w:rsidRPr="0035477E" w:rsidRDefault="0035477E" w:rsidP="0035477E">
      <w:pPr>
        <w:numPr>
          <w:ilvl w:val="0"/>
          <w:numId w:val="3"/>
        </w:numPr>
        <w:jc w:val="both"/>
      </w:pPr>
      <w:r w:rsidRPr="0035477E">
        <w:t>Blocking of nonspecific binding</w:t>
      </w:r>
      <w:r w:rsidRPr="0035477E">
        <w:t> </w:t>
      </w:r>
      <w:r w:rsidRPr="0035477E">
        <w:t>and endogenous peroxidase activity</w:t>
      </w:r>
    </w:p>
    <w:p w14:paraId="286D7F05" w14:textId="77777777" w:rsidR="0035477E" w:rsidRPr="0035477E" w:rsidRDefault="0035477E" w:rsidP="0035477E">
      <w:pPr>
        <w:numPr>
          <w:ilvl w:val="0"/>
          <w:numId w:val="3"/>
        </w:numPr>
        <w:jc w:val="both"/>
      </w:pPr>
      <w:r w:rsidRPr="0035477E">
        <w:t>This</w:t>
      </w:r>
      <w:r w:rsidRPr="0035477E">
        <w:t> </w:t>
      </w:r>
      <w:r w:rsidRPr="0035477E">
        <w:t>was followed by incubation with the primary antibody at 37°C for 1 hour</w:t>
      </w:r>
    </w:p>
    <w:p w14:paraId="0BAEAA87" w14:textId="77777777" w:rsidR="0035477E" w:rsidRPr="0035477E" w:rsidRDefault="0035477E" w:rsidP="0035477E">
      <w:pPr>
        <w:numPr>
          <w:ilvl w:val="0"/>
          <w:numId w:val="3"/>
        </w:numPr>
        <w:jc w:val="both"/>
      </w:pPr>
      <w:r w:rsidRPr="0035477E">
        <w:t>Secondary antibody (10</w:t>
      </w:r>
      <w:r w:rsidRPr="0035477E">
        <w:t> </w:t>
      </w:r>
      <w:r w:rsidRPr="0035477E">
        <w:t>min, RT)</w:t>
      </w:r>
    </w:p>
    <w:p w14:paraId="46D0AA00" w14:textId="77777777" w:rsidR="0035477E" w:rsidRPr="0035477E" w:rsidRDefault="0035477E" w:rsidP="0035477E">
      <w:pPr>
        <w:numPr>
          <w:ilvl w:val="0"/>
          <w:numId w:val="3"/>
        </w:numPr>
        <w:jc w:val="both"/>
      </w:pPr>
      <w:proofErr w:type="spellStart"/>
      <w:r w:rsidRPr="0035477E">
        <w:t>Stretchability</w:t>
      </w:r>
      <w:proofErr w:type="spellEnd"/>
      <w:r w:rsidRPr="0035477E">
        <w:t xml:space="preserve"> and Stretchable Electronics Visualization with streptavidin-HRP and DAB</w:t>
      </w:r>
      <w:r w:rsidRPr="0035477E">
        <w:t> </w:t>
      </w:r>
      <w:r w:rsidRPr="0035477E">
        <w:t>chromogen</w:t>
      </w:r>
    </w:p>
    <w:p w14:paraId="4E169B3D" w14:textId="4FB35DF5" w:rsidR="0035477E" w:rsidRPr="0035477E" w:rsidRDefault="0035477E" w:rsidP="0035477E">
      <w:pPr>
        <w:numPr>
          <w:ilvl w:val="0"/>
          <w:numId w:val="3"/>
        </w:numPr>
        <w:jc w:val="both"/>
      </w:pPr>
      <w:proofErr w:type="spellStart"/>
      <w:r w:rsidRPr="0035477E">
        <w:t>Counterstaine</w:t>
      </w:r>
      <w:proofErr w:type="spellEnd"/>
      <w:r w:rsidRPr="0035477E">
        <w:t> </w:t>
      </w:r>
      <w:r w:rsidRPr="0035477E">
        <w:t>with Mayer’s hematoxylin, dehydrated and mounted</w:t>
      </w:r>
      <w:r w:rsidR="003F148E">
        <w:t xml:space="preserve"> </w:t>
      </w:r>
    </w:p>
    <w:p w14:paraId="544E59D0" w14:textId="323B34D9" w:rsidR="0035477E" w:rsidRPr="0035477E" w:rsidRDefault="0035477E" w:rsidP="00FF757B">
      <w:pPr>
        <w:ind w:firstLine="720"/>
        <w:jc w:val="both"/>
      </w:pPr>
      <w:r w:rsidRPr="0035477E">
        <w:t>Each IHC run included appropriate positive and negative controls to ensure</w:t>
      </w:r>
      <w:r w:rsidRPr="0035477E">
        <w:t> </w:t>
      </w:r>
      <w:r w:rsidRPr="0035477E">
        <w:t>test validity [</w:t>
      </w:r>
      <w:r w:rsidR="00FF757B">
        <w:t>15</w:t>
      </w:r>
      <w:r w:rsidRPr="0035477E">
        <w:t>].</w:t>
      </w:r>
    </w:p>
    <w:p w14:paraId="5CD8548E" w14:textId="77777777" w:rsidR="0035477E" w:rsidRPr="0035477E" w:rsidRDefault="0035477E" w:rsidP="0035477E">
      <w:pPr>
        <w:ind w:firstLine="720"/>
        <w:jc w:val="both"/>
      </w:pPr>
      <w:r w:rsidRPr="0035477E">
        <w:t>Statistical analyses were performed using SPSS software (version 25.0). Sensitivity and specificity of serum testing were calculated using IHC as the gold standard. Associations between H. pylori infection (serum and IHC positivity) and histopathological subtypes were assessed using chi-square tests or Fisher’s exact test, as appropriate. A p-value &lt; 0.05 was considered statistically significant.</w:t>
      </w:r>
    </w:p>
    <w:bookmarkEnd w:id="4"/>
    <w:p w14:paraId="5F509A21" w14:textId="77777777" w:rsidR="006458BE" w:rsidRDefault="006458BE" w:rsidP="003F148E">
      <w:pPr>
        <w:rPr>
          <w:b/>
          <w:bCs/>
          <w:sz w:val="12"/>
          <w:szCs w:val="12"/>
        </w:rPr>
      </w:pPr>
    </w:p>
    <w:p w14:paraId="2F286981" w14:textId="77777777" w:rsidR="003F148E" w:rsidRPr="003F148E" w:rsidRDefault="003F148E" w:rsidP="003F148E">
      <w:pPr>
        <w:rPr>
          <w:sz w:val="12"/>
          <w:szCs w:val="12"/>
          <w:lang w:val="en-GB"/>
        </w:rPr>
      </w:pPr>
    </w:p>
    <w:bookmarkEnd w:id="3"/>
    <w:p w14:paraId="180D9959" w14:textId="1CF6CC07" w:rsidR="00FF757B" w:rsidRPr="00C1728B" w:rsidRDefault="00C1728B" w:rsidP="00C1728B">
      <w:pPr>
        <w:tabs>
          <w:tab w:val="left" w:pos="426"/>
        </w:tabs>
        <w:rPr>
          <w:b/>
          <w:bCs/>
          <w:sz w:val="22"/>
          <w:szCs w:val="22"/>
          <w:lang w:val="id-ID"/>
        </w:rPr>
      </w:pPr>
      <w:r w:rsidRPr="00C1728B">
        <w:rPr>
          <w:b/>
          <w:bCs/>
          <w:sz w:val="22"/>
          <w:szCs w:val="22"/>
          <w:lang w:val="en-GB"/>
        </w:rPr>
        <w:t xml:space="preserve">3- </w:t>
      </w:r>
      <w:r w:rsidR="006458BE" w:rsidRPr="00C1728B">
        <w:rPr>
          <w:b/>
          <w:bCs/>
          <w:sz w:val="22"/>
          <w:szCs w:val="22"/>
          <w:lang w:val="id-ID"/>
        </w:rPr>
        <w:t>RESULTS AND DISCUSSION</w:t>
      </w:r>
      <w:r w:rsidR="00FF757B" w:rsidRPr="00C1728B">
        <w:rPr>
          <w:b/>
          <w:bCs/>
          <w:sz w:val="22"/>
          <w:szCs w:val="22"/>
        </w:rPr>
        <w:t xml:space="preserve"> </w:t>
      </w:r>
    </w:p>
    <w:p w14:paraId="23A5844A" w14:textId="77777777" w:rsidR="00FF757B" w:rsidRPr="00C1728B" w:rsidRDefault="00FF757B" w:rsidP="00C1728B">
      <w:pPr>
        <w:tabs>
          <w:tab w:val="left" w:pos="426"/>
        </w:tabs>
        <w:rPr>
          <w:b/>
          <w:bCs/>
          <w:sz w:val="12"/>
          <w:szCs w:val="12"/>
          <w:lang w:val="en-GB"/>
        </w:rPr>
      </w:pPr>
    </w:p>
    <w:p w14:paraId="4CFEFC4B" w14:textId="348B3F2D" w:rsidR="00FF757B" w:rsidRDefault="00FF757B" w:rsidP="00FF757B">
      <w:pPr>
        <w:jc w:val="both"/>
        <w:rPr>
          <w:b/>
          <w:bCs/>
        </w:rPr>
      </w:pPr>
      <w:r w:rsidRPr="00FF757B">
        <w:rPr>
          <w:b/>
          <w:bCs/>
        </w:rPr>
        <w:t>3.1</w:t>
      </w:r>
      <w:r>
        <w:t xml:space="preserve"> </w:t>
      </w:r>
      <w:r w:rsidRPr="00FF757B">
        <w:rPr>
          <w:b/>
          <w:bCs/>
        </w:rPr>
        <w:t>Demographic and clinical characteristics of the patients</w:t>
      </w:r>
      <w:r>
        <w:rPr>
          <w:b/>
          <w:bCs/>
        </w:rPr>
        <w:t>:</w:t>
      </w:r>
      <w:r w:rsidR="00C1728B">
        <w:rPr>
          <w:b/>
          <w:bCs/>
        </w:rPr>
        <w:t xml:space="preserve"> </w:t>
      </w:r>
    </w:p>
    <w:p w14:paraId="3AD26576" w14:textId="77777777" w:rsidR="00C1728B" w:rsidRPr="00C1728B" w:rsidRDefault="00C1728B" w:rsidP="00FF757B">
      <w:pPr>
        <w:jc w:val="both"/>
        <w:rPr>
          <w:b/>
          <w:bCs/>
          <w:sz w:val="8"/>
          <w:szCs w:val="8"/>
        </w:rPr>
      </w:pPr>
    </w:p>
    <w:p w14:paraId="6D21B07F" w14:textId="7CAD2FA6" w:rsidR="00FF757B" w:rsidRDefault="00FF757B" w:rsidP="00441FC8">
      <w:pPr>
        <w:jc w:val="both"/>
      </w:pPr>
      <w:r w:rsidRPr="00FF757B">
        <w:t xml:space="preserve">The mean age of the patients was 50.45±17.27 years (range 17-75 years). Categorization of age revealed that the age group ≤50 years account for 45% of the patients while 55% of the patients had an age &gt;50 years.  The majority of patients (77.5%) were males. Smoking history showed that </w:t>
      </w:r>
      <w:r w:rsidRPr="00FF757B">
        <w:rPr>
          <w:b/>
          <w:bCs/>
        </w:rPr>
        <w:t>52.5%</w:t>
      </w:r>
      <w:r w:rsidRPr="00FF757B">
        <w:t xml:space="preserve"> of patients never smoked, while </w:t>
      </w:r>
      <w:r w:rsidRPr="00FF757B">
        <w:rPr>
          <w:b/>
          <w:bCs/>
        </w:rPr>
        <w:t>47.5%</w:t>
      </w:r>
      <w:r w:rsidRPr="00FF757B">
        <w:t xml:space="preserve"> were either ex-smokers or current smokers. Six main clinical features were reported, the most common of which was abdominal pain (42.5%) followed by bleeding per rectum (40%). Less common features were chronic diarrhea, constipation and anemia which were reported in 10%, 7.5% and 7.5%, respectively. Diabetes (whether type 1 or 2) was reported in 6 pati</w:t>
      </w:r>
      <w:r w:rsidR="00C1728B">
        <w:t xml:space="preserve">ents (15%) as shown in table 1. </w:t>
      </w:r>
    </w:p>
    <w:p w14:paraId="7733A867" w14:textId="77777777" w:rsidR="00C1728B" w:rsidRPr="00C1728B" w:rsidRDefault="00C1728B" w:rsidP="00C1728B">
      <w:pPr>
        <w:jc w:val="both"/>
        <w:rPr>
          <w:sz w:val="12"/>
          <w:szCs w:val="12"/>
        </w:rPr>
      </w:pPr>
    </w:p>
    <w:p w14:paraId="407CDD84" w14:textId="3C428646" w:rsidR="00FF757B" w:rsidRDefault="00FF757B" w:rsidP="00C1728B">
      <w:r w:rsidRPr="00FF757B">
        <w:t>Table 1: Demographic and clinical characteristics the patients (n=40)</w:t>
      </w:r>
      <w:r w:rsidR="00C1728B">
        <w:t xml:space="preserve"> </w:t>
      </w:r>
    </w:p>
    <w:p w14:paraId="5A9AB791" w14:textId="77777777" w:rsidR="00C1728B" w:rsidRPr="00C1728B" w:rsidRDefault="00C1728B" w:rsidP="00C1728B">
      <w:pPr>
        <w:rPr>
          <w:sz w:val="12"/>
          <w:szCs w:val="12"/>
        </w:rPr>
      </w:pPr>
    </w:p>
    <w:tbl>
      <w:tblPr>
        <w:tblStyle w:val="TableGrid"/>
        <w:tblpPr w:leftFromText="180" w:rightFromText="180" w:vertAnchor="text" w:horzAnchor="margin" w:tblpXSpec="center" w:tblpY="65"/>
        <w:tblW w:w="0" w:type="auto"/>
        <w:tblBorders>
          <w:top w:val="thinThickSmallGap" w:sz="24" w:space="0" w:color="auto"/>
          <w:left w:val="thinThickSmallGap" w:sz="24" w:space="0" w:color="auto"/>
          <w:bottom w:val="thickThinSmallGap" w:sz="24" w:space="0" w:color="auto"/>
          <w:right w:val="thickThinSmallGap" w:sz="24" w:space="0" w:color="auto"/>
          <w:insideV w:val="double" w:sz="4" w:space="0" w:color="auto"/>
        </w:tblBorders>
        <w:tblLook w:val="04A0" w:firstRow="1" w:lastRow="0" w:firstColumn="1" w:lastColumn="0" w:noHBand="0" w:noVBand="1"/>
      </w:tblPr>
      <w:tblGrid>
        <w:gridCol w:w="3015"/>
        <w:gridCol w:w="2340"/>
        <w:gridCol w:w="2340"/>
      </w:tblGrid>
      <w:tr w:rsidR="00C1728B" w:rsidRPr="00FF757B" w14:paraId="14CF7249" w14:textId="77777777" w:rsidTr="00C1728B">
        <w:tc>
          <w:tcPr>
            <w:tcW w:w="3015" w:type="dxa"/>
          </w:tcPr>
          <w:p w14:paraId="688A9F14" w14:textId="77777777" w:rsidR="00C1728B" w:rsidRPr="00FF757B" w:rsidRDefault="00C1728B" w:rsidP="00C1728B">
            <w:pPr>
              <w:ind w:firstLine="720"/>
              <w:jc w:val="both"/>
              <w:rPr>
                <w:b/>
                <w:bCs/>
              </w:rPr>
            </w:pPr>
            <w:r w:rsidRPr="00FF757B">
              <w:rPr>
                <w:b/>
                <w:bCs/>
              </w:rPr>
              <w:t xml:space="preserve">Variables </w:t>
            </w:r>
          </w:p>
        </w:tc>
        <w:tc>
          <w:tcPr>
            <w:tcW w:w="2340" w:type="dxa"/>
          </w:tcPr>
          <w:p w14:paraId="2905A4DF" w14:textId="77777777" w:rsidR="00C1728B" w:rsidRPr="00FF757B" w:rsidRDefault="00C1728B" w:rsidP="00C1728B">
            <w:pPr>
              <w:ind w:firstLine="720"/>
              <w:jc w:val="both"/>
              <w:rPr>
                <w:b/>
                <w:bCs/>
              </w:rPr>
            </w:pPr>
            <w:r w:rsidRPr="00FF757B">
              <w:rPr>
                <w:b/>
                <w:bCs/>
              </w:rPr>
              <w:t xml:space="preserve">Categories </w:t>
            </w:r>
          </w:p>
        </w:tc>
        <w:tc>
          <w:tcPr>
            <w:tcW w:w="2340" w:type="dxa"/>
          </w:tcPr>
          <w:p w14:paraId="5892DA59" w14:textId="77777777" w:rsidR="00C1728B" w:rsidRPr="00FF757B" w:rsidRDefault="00C1728B" w:rsidP="00C1728B">
            <w:pPr>
              <w:ind w:firstLine="720"/>
              <w:jc w:val="both"/>
              <w:rPr>
                <w:b/>
                <w:bCs/>
              </w:rPr>
            </w:pPr>
            <w:r w:rsidRPr="00FF757B">
              <w:rPr>
                <w:b/>
                <w:bCs/>
              </w:rPr>
              <w:t>Frequency (%)</w:t>
            </w:r>
          </w:p>
        </w:tc>
      </w:tr>
      <w:tr w:rsidR="00C1728B" w:rsidRPr="00FF757B" w14:paraId="254833F2" w14:textId="77777777" w:rsidTr="00C1728B">
        <w:tc>
          <w:tcPr>
            <w:tcW w:w="3015" w:type="dxa"/>
          </w:tcPr>
          <w:p w14:paraId="756007D9" w14:textId="77777777" w:rsidR="00C1728B" w:rsidRPr="00FF757B" w:rsidRDefault="00C1728B" w:rsidP="00C1728B">
            <w:pPr>
              <w:ind w:firstLine="720"/>
              <w:jc w:val="both"/>
              <w:rPr>
                <w:b/>
                <w:bCs/>
              </w:rPr>
            </w:pPr>
            <w:r w:rsidRPr="00FF757B">
              <w:rPr>
                <w:b/>
                <w:bCs/>
              </w:rPr>
              <w:t xml:space="preserve">Age, years </w:t>
            </w:r>
          </w:p>
        </w:tc>
        <w:tc>
          <w:tcPr>
            <w:tcW w:w="2340" w:type="dxa"/>
          </w:tcPr>
          <w:p w14:paraId="001A0BEB" w14:textId="77777777" w:rsidR="00C1728B" w:rsidRPr="00FF757B" w:rsidRDefault="00C1728B" w:rsidP="00C1728B">
            <w:pPr>
              <w:ind w:firstLine="720"/>
              <w:jc w:val="both"/>
            </w:pPr>
            <w:r w:rsidRPr="00FF757B">
              <w:t>≤50</w:t>
            </w:r>
          </w:p>
          <w:p w14:paraId="0247E20F" w14:textId="77777777" w:rsidR="00C1728B" w:rsidRPr="00FF757B" w:rsidRDefault="00C1728B" w:rsidP="00C1728B">
            <w:pPr>
              <w:ind w:firstLine="720"/>
              <w:jc w:val="both"/>
            </w:pPr>
            <w:r w:rsidRPr="00FF757B">
              <w:t>&gt;50</w:t>
            </w:r>
          </w:p>
        </w:tc>
        <w:tc>
          <w:tcPr>
            <w:tcW w:w="2340" w:type="dxa"/>
          </w:tcPr>
          <w:p w14:paraId="1AB808F5" w14:textId="77777777" w:rsidR="00C1728B" w:rsidRPr="00FF757B" w:rsidRDefault="00C1728B" w:rsidP="00C1728B">
            <w:pPr>
              <w:ind w:firstLine="720"/>
              <w:jc w:val="both"/>
            </w:pPr>
            <w:r w:rsidRPr="00FF757B">
              <w:t>18(45%)</w:t>
            </w:r>
          </w:p>
          <w:p w14:paraId="213C6700" w14:textId="77777777" w:rsidR="00C1728B" w:rsidRPr="00FF757B" w:rsidRDefault="00C1728B" w:rsidP="00C1728B">
            <w:pPr>
              <w:ind w:firstLine="720"/>
              <w:jc w:val="both"/>
            </w:pPr>
            <w:r w:rsidRPr="00FF757B">
              <w:t>22(55%)</w:t>
            </w:r>
          </w:p>
        </w:tc>
      </w:tr>
      <w:tr w:rsidR="00C1728B" w:rsidRPr="00FF757B" w14:paraId="76625696" w14:textId="77777777" w:rsidTr="00C1728B">
        <w:tc>
          <w:tcPr>
            <w:tcW w:w="3015" w:type="dxa"/>
          </w:tcPr>
          <w:p w14:paraId="5DFD8AF0" w14:textId="77777777" w:rsidR="00C1728B" w:rsidRPr="00FF757B" w:rsidRDefault="00C1728B" w:rsidP="00C1728B">
            <w:pPr>
              <w:ind w:firstLine="720"/>
              <w:jc w:val="both"/>
              <w:rPr>
                <w:b/>
                <w:bCs/>
              </w:rPr>
            </w:pPr>
            <w:r w:rsidRPr="00FF757B">
              <w:rPr>
                <w:b/>
                <w:bCs/>
              </w:rPr>
              <w:t>Sex</w:t>
            </w:r>
          </w:p>
        </w:tc>
        <w:tc>
          <w:tcPr>
            <w:tcW w:w="2340" w:type="dxa"/>
          </w:tcPr>
          <w:p w14:paraId="62C80E56" w14:textId="77777777" w:rsidR="00C1728B" w:rsidRPr="00FF757B" w:rsidRDefault="00C1728B" w:rsidP="00C1728B">
            <w:pPr>
              <w:ind w:firstLine="720"/>
              <w:jc w:val="both"/>
            </w:pPr>
            <w:r w:rsidRPr="00FF757B">
              <w:t>Male</w:t>
            </w:r>
          </w:p>
          <w:p w14:paraId="2FDAE61D" w14:textId="77777777" w:rsidR="00C1728B" w:rsidRPr="00FF757B" w:rsidRDefault="00C1728B" w:rsidP="00C1728B">
            <w:pPr>
              <w:ind w:firstLine="720"/>
              <w:jc w:val="both"/>
            </w:pPr>
            <w:r w:rsidRPr="00FF757B">
              <w:t>Female</w:t>
            </w:r>
          </w:p>
        </w:tc>
        <w:tc>
          <w:tcPr>
            <w:tcW w:w="2340" w:type="dxa"/>
          </w:tcPr>
          <w:p w14:paraId="7BBABD73" w14:textId="77777777" w:rsidR="00C1728B" w:rsidRPr="00FF757B" w:rsidRDefault="00C1728B" w:rsidP="00C1728B">
            <w:pPr>
              <w:ind w:firstLine="720"/>
              <w:jc w:val="both"/>
            </w:pPr>
            <w:r w:rsidRPr="00FF757B">
              <w:t>31(77.5%)</w:t>
            </w:r>
          </w:p>
          <w:p w14:paraId="4602D997" w14:textId="77777777" w:rsidR="00C1728B" w:rsidRPr="00FF757B" w:rsidRDefault="00C1728B" w:rsidP="00C1728B">
            <w:pPr>
              <w:ind w:firstLine="720"/>
              <w:jc w:val="both"/>
            </w:pPr>
            <w:r w:rsidRPr="00FF757B">
              <w:t>9(22.5%)</w:t>
            </w:r>
          </w:p>
        </w:tc>
      </w:tr>
      <w:tr w:rsidR="00C1728B" w:rsidRPr="00FF757B" w14:paraId="171C7ED7" w14:textId="77777777" w:rsidTr="00C1728B">
        <w:tc>
          <w:tcPr>
            <w:tcW w:w="3015" w:type="dxa"/>
          </w:tcPr>
          <w:p w14:paraId="35A0A570" w14:textId="77777777" w:rsidR="00C1728B" w:rsidRPr="00FF757B" w:rsidRDefault="00C1728B" w:rsidP="00C1728B">
            <w:pPr>
              <w:ind w:firstLine="720"/>
              <w:jc w:val="both"/>
              <w:rPr>
                <w:b/>
                <w:bCs/>
              </w:rPr>
            </w:pPr>
            <w:r w:rsidRPr="00FF757B">
              <w:rPr>
                <w:b/>
                <w:bCs/>
              </w:rPr>
              <w:t>Smoking</w:t>
            </w:r>
          </w:p>
        </w:tc>
        <w:tc>
          <w:tcPr>
            <w:tcW w:w="2340" w:type="dxa"/>
          </w:tcPr>
          <w:p w14:paraId="6EF79792" w14:textId="77777777" w:rsidR="00C1728B" w:rsidRPr="00FF757B" w:rsidRDefault="00C1728B" w:rsidP="00C1728B">
            <w:pPr>
              <w:ind w:firstLine="720"/>
              <w:jc w:val="both"/>
            </w:pPr>
            <w:r w:rsidRPr="00FF757B">
              <w:t>Never</w:t>
            </w:r>
          </w:p>
          <w:p w14:paraId="2B7EACBC" w14:textId="77777777" w:rsidR="00C1728B" w:rsidRPr="00FF757B" w:rsidRDefault="00C1728B" w:rsidP="00C1728B">
            <w:pPr>
              <w:ind w:firstLine="720"/>
              <w:jc w:val="both"/>
            </w:pPr>
            <w:r w:rsidRPr="00FF757B">
              <w:t xml:space="preserve">Ex/current </w:t>
            </w:r>
          </w:p>
        </w:tc>
        <w:tc>
          <w:tcPr>
            <w:tcW w:w="2340" w:type="dxa"/>
          </w:tcPr>
          <w:p w14:paraId="35B562F7" w14:textId="77777777" w:rsidR="00C1728B" w:rsidRPr="00FF757B" w:rsidRDefault="00C1728B" w:rsidP="00C1728B">
            <w:pPr>
              <w:ind w:firstLine="720"/>
              <w:jc w:val="both"/>
            </w:pPr>
            <w:r w:rsidRPr="00FF757B">
              <w:t>21(52.5%)</w:t>
            </w:r>
          </w:p>
          <w:p w14:paraId="0AA28031" w14:textId="77777777" w:rsidR="00C1728B" w:rsidRPr="00FF757B" w:rsidRDefault="00C1728B" w:rsidP="00C1728B">
            <w:pPr>
              <w:ind w:firstLine="720"/>
              <w:jc w:val="both"/>
            </w:pPr>
            <w:r w:rsidRPr="00FF757B">
              <w:t>19(47.5%)</w:t>
            </w:r>
          </w:p>
        </w:tc>
      </w:tr>
      <w:tr w:rsidR="00C1728B" w:rsidRPr="00FF757B" w14:paraId="3F34B88A" w14:textId="77777777" w:rsidTr="00C1728B">
        <w:tc>
          <w:tcPr>
            <w:tcW w:w="3015" w:type="dxa"/>
          </w:tcPr>
          <w:p w14:paraId="3B3AC9EF" w14:textId="77777777" w:rsidR="00C1728B" w:rsidRPr="00FF757B" w:rsidRDefault="00C1728B" w:rsidP="00C1728B">
            <w:pPr>
              <w:ind w:firstLine="720"/>
              <w:jc w:val="both"/>
              <w:rPr>
                <w:b/>
                <w:bCs/>
              </w:rPr>
            </w:pPr>
            <w:r w:rsidRPr="00FF757B">
              <w:rPr>
                <w:b/>
                <w:bCs/>
              </w:rPr>
              <w:t xml:space="preserve">Abdominal pain </w:t>
            </w:r>
          </w:p>
        </w:tc>
        <w:tc>
          <w:tcPr>
            <w:tcW w:w="2340" w:type="dxa"/>
          </w:tcPr>
          <w:p w14:paraId="5961A8C5" w14:textId="77777777" w:rsidR="00C1728B" w:rsidRPr="00FF757B" w:rsidRDefault="00C1728B" w:rsidP="00C1728B">
            <w:pPr>
              <w:ind w:firstLine="720"/>
              <w:jc w:val="both"/>
            </w:pPr>
            <w:r w:rsidRPr="00FF757B">
              <w:t xml:space="preserve">Absent </w:t>
            </w:r>
          </w:p>
          <w:p w14:paraId="12946A55" w14:textId="77777777" w:rsidR="00C1728B" w:rsidRPr="00FF757B" w:rsidRDefault="00C1728B" w:rsidP="00C1728B">
            <w:pPr>
              <w:ind w:firstLine="720"/>
              <w:jc w:val="both"/>
            </w:pPr>
            <w:r w:rsidRPr="00FF757B">
              <w:t>Present</w:t>
            </w:r>
          </w:p>
        </w:tc>
        <w:tc>
          <w:tcPr>
            <w:tcW w:w="2340" w:type="dxa"/>
          </w:tcPr>
          <w:p w14:paraId="62BFED68" w14:textId="77777777" w:rsidR="00C1728B" w:rsidRPr="00FF757B" w:rsidRDefault="00C1728B" w:rsidP="00C1728B">
            <w:pPr>
              <w:ind w:firstLine="720"/>
              <w:jc w:val="both"/>
            </w:pPr>
            <w:r w:rsidRPr="00FF757B">
              <w:t>23(57.5%)</w:t>
            </w:r>
          </w:p>
          <w:p w14:paraId="7803A743" w14:textId="77777777" w:rsidR="00C1728B" w:rsidRPr="00FF757B" w:rsidRDefault="00C1728B" w:rsidP="00C1728B">
            <w:pPr>
              <w:ind w:firstLine="720"/>
              <w:jc w:val="both"/>
            </w:pPr>
            <w:r w:rsidRPr="00FF757B">
              <w:t>17(42.5%)</w:t>
            </w:r>
          </w:p>
        </w:tc>
      </w:tr>
      <w:tr w:rsidR="00C1728B" w:rsidRPr="00FF757B" w14:paraId="0B539BC3" w14:textId="77777777" w:rsidTr="00C1728B">
        <w:tc>
          <w:tcPr>
            <w:tcW w:w="3015" w:type="dxa"/>
          </w:tcPr>
          <w:p w14:paraId="64986211" w14:textId="77777777" w:rsidR="00C1728B" w:rsidRPr="00FF757B" w:rsidRDefault="00C1728B" w:rsidP="00C1728B">
            <w:pPr>
              <w:ind w:firstLine="720"/>
              <w:jc w:val="both"/>
              <w:rPr>
                <w:b/>
                <w:bCs/>
              </w:rPr>
            </w:pPr>
            <w:r w:rsidRPr="00FF757B">
              <w:rPr>
                <w:b/>
                <w:bCs/>
              </w:rPr>
              <w:t xml:space="preserve">Bleeding per rectum </w:t>
            </w:r>
          </w:p>
          <w:p w14:paraId="44F72182" w14:textId="77777777" w:rsidR="00C1728B" w:rsidRPr="00FF757B" w:rsidRDefault="00C1728B" w:rsidP="00C1728B">
            <w:pPr>
              <w:ind w:firstLine="720"/>
              <w:jc w:val="both"/>
              <w:rPr>
                <w:b/>
                <w:bCs/>
              </w:rPr>
            </w:pPr>
            <w:r w:rsidRPr="00FF757B">
              <w:rPr>
                <w:b/>
                <w:bCs/>
              </w:rPr>
              <w:t xml:space="preserve"> </w:t>
            </w:r>
          </w:p>
        </w:tc>
        <w:tc>
          <w:tcPr>
            <w:tcW w:w="2340" w:type="dxa"/>
          </w:tcPr>
          <w:p w14:paraId="57CD5151" w14:textId="77777777" w:rsidR="00C1728B" w:rsidRPr="00FF757B" w:rsidRDefault="00C1728B" w:rsidP="00C1728B">
            <w:pPr>
              <w:ind w:firstLine="720"/>
              <w:jc w:val="both"/>
            </w:pPr>
            <w:r w:rsidRPr="00FF757B">
              <w:t xml:space="preserve">Absent </w:t>
            </w:r>
          </w:p>
          <w:p w14:paraId="7AB56923" w14:textId="77777777" w:rsidR="00C1728B" w:rsidRPr="00FF757B" w:rsidRDefault="00C1728B" w:rsidP="00C1728B">
            <w:pPr>
              <w:ind w:firstLine="720"/>
              <w:jc w:val="both"/>
            </w:pPr>
            <w:r w:rsidRPr="00FF757B">
              <w:t>Present</w:t>
            </w:r>
          </w:p>
        </w:tc>
        <w:tc>
          <w:tcPr>
            <w:tcW w:w="2340" w:type="dxa"/>
          </w:tcPr>
          <w:p w14:paraId="1C8F6651" w14:textId="77777777" w:rsidR="00C1728B" w:rsidRPr="00FF757B" w:rsidRDefault="00C1728B" w:rsidP="00C1728B">
            <w:pPr>
              <w:ind w:firstLine="720"/>
              <w:jc w:val="both"/>
            </w:pPr>
            <w:r w:rsidRPr="00FF757B">
              <w:t>24(60%)</w:t>
            </w:r>
          </w:p>
          <w:p w14:paraId="4454FBFB" w14:textId="77777777" w:rsidR="00C1728B" w:rsidRPr="00FF757B" w:rsidRDefault="00C1728B" w:rsidP="00C1728B">
            <w:pPr>
              <w:ind w:firstLine="720"/>
              <w:jc w:val="both"/>
            </w:pPr>
            <w:r w:rsidRPr="00FF757B">
              <w:t>16(40%)</w:t>
            </w:r>
          </w:p>
        </w:tc>
      </w:tr>
      <w:tr w:rsidR="00C1728B" w:rsidRPr="00FF757B" w14:paraId="572CB38F" w14:textId="77777777" w:rsidTr="00C1728B">
        <w:tc>
          <w:tcPr>
            <w:tcW w:w="3015" w:type="dxa"/>
          </w:tcPr>
          <w:p w14:paraId="218B3792" w14:textId="77777777" w:rsidR="00C1728B" w:rsidRPr="00FF757B" w:rsidRDefault="00C1728B" w:rsidP="00C1728B">
            <w:pPr>
              <w:ind w:firstLine="720"/>
              <w:jc w:val="both"/>
              <w:rPr>
                <w:b/>
                <w:bCs/>
              </w:rPr>
            </w:pPr>
            <w:r w:rsidRPr="00FF757B">
              <w:rPr>
                <w:b/>
                <w:bCs/>
              </w:rPr>
              <w:t xml:space="preserve">Constipation </w:t>
            </w:r>
          </w:p>
        </w:tc>
        <w:tc>
          <w:tcPr>
            <w:tcW w:w="2340" w:type="dxa"/>
          </w:tcPr>
          <w:p w14:paraId="74DFAA90" w14:textId="77777777" w:rsidR="00C1728B" w:rsidRPr="00FF757B" w:rsidRDefault="00C1728B" w:rsidP="00C1728B">
            <w:pPr>
              <w:ind w:firstLine="720"/>
              <w:jc w:val="both"/>
            </w:pPr>
            <w:r w:rsidRPr="00FF757B">
              <w:t xml:space="preserve">Absent </w:t>
            </w:r>
          </w:p>
          <w:p w14:paraId="439F3DF0" w14:textId="77777777" w:rsidR="00C1728B" w:rsidRPr="00FF757B" w:rsidRDefault="00C1728B" w:rsidP="00C1728B">
            <w:pPr>
              <w:ind w:firstLine="720"/>
              <w:jc w:val="both"/>
            </w:pPr>
            <w:r w:rsidRPr="00FF757B">
              <w:t xml:space="preserve">Present </w:t>
            </w:r>
          </w:p>
        </w:tc>
        <w:tc>
          <w:tcPr>
            <w:tcW w:w="2340" w:type="dxa"/>
          </w:tcPr>
          <w:p w14:paraId="4F18021E" w14:textId="77777777" w:rsidR="00C1728B" w:rsidRPr="00FF757B" w:rsidRDefault="00C1728B" w:rsidP="00C1728B">
            <w:pPr>
              <w:ind w:firstLine="720"/>
              <w:jc w:val="both"/>
            </w:pPr>
            <w:r w:rsidRPr="00FF757B">
              <w:t>37(92.5%)</w:t>
            </w:r>
          </w:p>
          <w:p w14:paraId="6716223F" w14:textId="77777777" w:rsidR="00C1728B" w:rsidRPr="00FF757B" w:rsidRDefault="00C1728B" w:rsidP="00C1728B">
            <w:pPr>
              <w:ind w:firstLine="720"/>
              <w:jc w:val="both"/>
            </w:pPr>
            <w:r w:rsidRPr="00FF757B">
              <w:t>3(7.5%)</w:t>
            </w:r>
          </w:p>
        </w:tc>
      </w:tr>
      <w:tr w:rsidR="00C1728B" w:rsidRPr="00FF757B" w14:paraId="73B7BCDC" w14:textId="77777777" w:rsidTr="00C1728B">
        <w:tc>
          <w:tcPr>
            <w:tcW w:w="3015" w:type="dxa"/>
          </w:tcPr>
          <w:p w14:paraId="68F16BA2" w14:textId="77777777" w:rsidR="00C1728B" w:rsidRPr="00FF757B" w:rsidRDefault="00C1728B" w:rsidP="00C1728B">
            <w:pPr>
              <w:ind w:firstLine="720"/>
              <w:jc w:val="both"/>
              <w:rPr>
                <w:b/>
                <w:bCs/>
              </w:rPr>
            </w:pPr>
            <w:r w:rsidRPr="00FF757B">
              <w:rPr>
                <w:b/>
                <w:bCs/>
              </w:rPr>
              <w:t xml:space="preserve">Anemia </w:t>
            </w:r>
          </w:p>
        </w:tc>
        <w:tc>
          <w:tcPr>
            <w:tcW w:w="2340" w:type="dxa"/>
          </w:tcPr>
          <w:p w14:paraId="10BB1B44" w14:textId="77777777" w:rsidR="00C1728B" w:rsidRPr="00FF757B" w:rsidRDefault="00C1728B" w:rsidP="00C1728B">
            <w:pPr>
              <w:ind w:firstLine="720"/>
              <w:jc w:val="both"/>
            </w:pPr>
            <w:r w:rsidRPr="00FF757B">
              <w:t xml:space="preserve">Absent </w:t>
            </w:r>
          </w:p>
          <w:p w14:paraId="7511CB61" w14:textId="77777777" w:rsidR="00C1728B" w:rsidRPr="00FF757B" w:rsidRDefault="00C1728B" w:rsidP="00C1728B">
            <w:pPr>
              <w:ind w:firstLine="720"/>
              <w:jc w:val="both"/>
            </w:pPr>
            <w:r w:rsidRPr="00FF757B">
              <w:t>Present</w:t>
            </w:r>
          </w:p>
        </w:tc>
        <w:tc>
          <w:tcPr>
            <w:tcW w:w="2340" w:type="dxa"/>
          </w:tcPr>
          <w:p w14:paraId="46B4339C" w14:textId="77777777" w:rsidR="00C1728B" w:rsidRPr="00FF757B" w:rsidRDefault="00C1728B" w:rsidP="00C1728B">
            <w:pPr>
              <w:ind w:firstLine="720"/>
              <w:jc w:val="both"/>
            </w:pPr>
            <w:r w:rsidRPr="00FF757B">
              <w:t>37(92.5%)</w:t>
            </w:r>
          </w:p>
          <w:p w14:paraId="0A2CCCC1" w14:textId="77777777" w:rsidR="00C1728B" w:rsidRPr="00FF757B" w:rsidRDefault="00C1728B" w:rsidP="00C1728B">
            <w:pPr>
              <w:ind w:firstLine="720"/>
              <w:jc w:val="both"/>
            </w:pPr>
            <w:r w:rsidRPr="00FF757B">
              <w:t>3(7.5%)</w:t>
            </w:r>
          </w:p>
        </w:tc>
      </w:tr>
      <w:tr w:rsidR="00C1728B" w:rsidRPr="00FF757B" w14:paraId="40EFF431" w14:textId="77777777" w:rsidTr="00C1728B">
        <w:tc>
          <w:tcPr>
            <w:tcW w:w="3015" w:type="dxa"/>
          </w:tcPr>
          <w:p w14:paraId="6AD53F54" w14:textId="77777777" w:rsidR="00C1728B" w:rsidRPr="00FF757B" w:rsidRDefault="00C1728B" w:rsidP="00C1728B">
            <w:pPr>
              <w:ind w:firstLine="720"/>
              <w:jc w:val="both"/>
              <w:rPr>
                <w:b/>
                <w:bCs/>
              </w:rPr>
            </w:pPr>
            <w:r w:rsidRPr="00FF757B">
              <w:rPr>
                <w:b/>
                <w:bCs/>
              </w:rPr>
              <w:t xml:space="preserve">Chronic diarrhea </w:t>
            </w:r>
          </w:p>
        </w:tc>
        <w:tc>
          <w:tcPr>
            <w:tcW w:w="2340" w:type="dxa"/>
          </w:tcPr>
          <w:p w14:paraId="11EB59A7" w14:textId="77777777" w:rsidR="00C1728B" w:rsidRPr="00FF757B" w:rsidRDefault="00C1728B" w:rsidP="00C1728B">
            <w:pPr>
              <w:ind w:firstLine="720"/>
              <w:jc w:val="both"/>
            </w:pPr>
            <w:r w:rsidRPr="00FF757B">
              <w:t xml:space="preserve">Absent </w:t>
            </w:r>
          </w:p>
          <w:p w14:paraId="0CDB10F2" w14:textId="77777777" w:rsidR="00C1728B" w:rsidRPr="00FF757B" w:rsidRDefault="00C1728B" w:rsidP="00C1728B">
            <w:pPr>
              <w:ind w:firstLine="720"/>
              <w:jc w:val="both"/>
            </w:pPr>
            <w:r w:rsidRPr="00FF757B">
              <w:t>Present</w:t>
            </w:r>
          </w:p>
        </w:tc>
        <w:tc>
          <w:tcPr>
            <w:tcW w:w="2340" w:type="dxa"/>
          </w:tcPr>
          <w:p w14:paraId="4B25CD02" w14:textId="77777777" w:rsidR="00C1728B" w:rsidRPr="00FF757B" w:rsidRDefault="00C1728B" w:rsidP="00C1728B">
            <w:pPr>
              <w:ind w:firstLine="720"/>
              <w:jc w:val="both"/>
            </w:pPr>
            <w:r w:rsidRPr="00FF757B">
              <w:t>36(90%)</w:t>
            </w:r>
          </w:p>
          <w:p w14:paraId="0436AF4E" w14:textId="77777777" w:rsidR="00C1728B" w:rsidRPr="00FF757B" w:rsidRDefault="00C1728B" w:rsidP="00C1728B">
            <w:pPr>
              <w:ind w:firstLine="720"/>
              <w:jc w:val="both"/>
            </w:pPr>
            <w:r w:rsidRPr="00FF757B">
              <w:t>4(10%)</w:t>
            </w:r>
          </w:p>
        </w:tc>
      </w:tr>
      <w:tr w:rsidR="00C1728B" w:rsidRPr="00FF757B" w14:paraId="2204DD27" w14:textId="77777777" w:rsidTr="00C1728B">
        <w:tc>
          <w:tcPr>
            <w:tcW w:w="3015" w:type="dxa"/>
          </w:tcPr>
          <w:p w14:paraId="5077BFC3" w14:textId="77777777" w:rsidR="00C1728B" w:rsidRPr="00FF757B" w:rsidRDefault="00C1728B" w:rsidP="00C1728B">
            <w:pPr>
              <w:ind w:firstLine="720"/>
              <w:jc w:val="both"/>
              <w:rPr>
                <w:b/>
                <w:bCs/>
              </w:rPr>
            </w:pPr>
            <w:r w:rsidRPr="00FF757B">
              <w:rPr>
                <w:b/>
                <w:bCs/>
              </w:rPr>
              <w:t xml:space="preserve">Diabetes </w:t>
            </w:r>
          </w:p>
        </w:tc>
        <w:tc>
          <w:tcPr>
            <w:tcW w:w="2340" w:type="dxa"/>
          </w:tcPr>
          <w:p w14:paraId="1D046C04" w14:textId="77777777" w:rsidR="00C1728B" w:rsidRPr="00FF757B" w:rsidRDefault="00C1728B" w:rsidP="00C1728B">
            <w:pPr>
              <w:ind w:firstLine="720"/>
              <w:jc w:val="both"/>
            </w:pPr>
            <w:r w:rsidRPr="00FF757B">
              <w:t xml:space="preserve">Absent </w:t>
            </w:r>
          </w:p>
          <w:p w14:paraId="4DB09691" w14:textId="77777777" w:rsidR="00C1728B" w:rsidRPr="00FF757B" w:rsidRDefault="00C1728B" w:rsidP="00C1728B">
            <w:pPr>
              <w:ind w:firstLine="720"/>
              <w:jc w:val="both"/>
            </w:pPr>
            <w:r w:rsidRPr="00FF757B">
              <w:t>Present</w:t>
            </w:r>
          </w:p>
        </w:tc>
        <w:tc>
          <w:tcPr>
            <w:tcW w:w="2340" w:type="dxa"/>
          </w:tcPr>
          <w:p w14:paraId="0A8D0C99" w14:textId="77777777" w:rsidR="00C1728B" w:rsidRPr="00FF757B" w:rsidRDefault="00C1728B" w:rsidP="00C1728B">
            <w:pPr>
              <w:ind w:firstLine="720"/>
              <w:jc w:val="both"/>
            </w:pPr>
            <w:r w:rsidRPr="00FF757B">
              <w:t>34(85%)</w:t>
            </w:r>
          </w:p>
          <w:p w14:paraId="60290DD7" w14:textId="77777777" w:rsidR="00C1728B" w:rsidRPr="00FF757B" w:rsidRDefault="00C1728B" w:rsidP="00C1728B">
            <w:pPr>
              <w:ind w:firstLine="720"/>
              <w:jc w:val="both"/>
            </w:pPr>
            <w:r w:rsidRPr="00FF757B">
              <w:t>6(15%)</w:t>
            </w:r>
          </w:p>
        </w:tc>
      </w:tr>
      <w:tr w:rsidR="00C1728B" w:rsidRPr="00FF757B" w14:paraId="19D6A593" w14:textId="77777777" w:rsidTr="00C1728B">
        <w:tc>
          <w:tcPr>
            <w:tcW w:w="3015" w:type="dxa"/>
          </w:tcPr>
          <w:p w14:paraId="2FA4F829" w14:textId="77777777" w:rsidR="00C1728B" w:rsidRPr="00FF757B" w:rsidRDefault="00C1728B" w:rsidP="00C1728B">
            <w:pPr>
              <w:ind w:firstLine="720"/>
              <w:jc w:val="both"/>
              <w:rPr>
                <w:b/>
                <w:bCs/>
              </w:rPr>
            </w:pPr>
            <w:r w:rsidRPr="00FF757B">
              <w:rPr>
                <w:b/>
                <w:bCs/>
              </w:rPr>
              <w:t>Other clinical features</w:t>
            </w:r>
          </w:p>
          <w:p w14:paraId="66D11250" w14:textId="77777777" w:rsidR="00C1728B" w:rsidRPr="00FF757B" w:rsidRDefault="00C1728B" w:rsidP="00C1728B">
            <w:pPr>
              <w:ind w:firstLine="720"/>
              <w:jc w:val="both"/>
              <w:rPr>
                <w:b/>
                <w:bCs/>
              </w:rPr>
            </w:pPr>
            <w:r w:rsidRPr="00FF757B">
              <w:rPr>
                <w:b/>
                <w:bCs/>
              </w:rPr>
              <w:t xml:space="preserve"> </w:t>
            </w:r>
          </w:p>
        </w:tc>
        <w:tc>
          <w:tcPr>
            <w:tcW w:w="2340" w:type="dxa"/>
          </w:tcPr>
          <w:p w14:paraId="7DB86398" w14:textId="77777777" w:rsidR="00C1728B" w:rsidRPr="00FF757B" w:rsidRDefault="00C1728B" w:rsidP="00C1728B">
            <w:pPr>
              <w:ind w:firstLine="720"/>
              <w:jc w:val="both"/>
            </w:pPr>
            <w:r w:rsidRPr="00FF757B">
              <w:t xml:space="preserve">Absent </w:t>
            </w:r>
          </w:p>
          <w:p w14:paraId="25D1CAF0" w14:textId="77777777" w:rsidR="00C1728B" w:rsidRPr="00FF757B" w:rsidRDefault="00C1728B" w:rsidP="00C1728B">
            <w:pPr>
              <w:ind w:firstLine="720"/>
              <w:jc w:val="both"/>
            </w:pPr>
            <w:r w:rsidRPr="00FF757B">
              <w:t>Present</w:t>
            </w:r>
          </w:p>
        </w:tc>
        <w:tc>
          <w:tcPr>
            <w:tcW w:w="2340" w:type="dxa"/>
          </w:tcPr>
          <w:p w14:paraId="7C63114E" w14:textId="77777777" w:rsidR="00C1728B" w:rsidRPr="00FF757B" w:rsidRDefault="00C1728B" w:rsidP="00C1728B">
            <w:pPr>
              <w:ind w:firstLine="720"/>
              <w:jc w:val="both"/>
            </w:pPr>
            <w:r w:rsidRPr="00FF757B">
              <w:t>35(87.5%)</w:t>
            </w:r>
          </w:p>
          <w:p w14:paraId="7F9BDF68" w14:textId="77777777" w:rsidR="00C1728B" w:rsidRPr="00FF757B" w:rsidRDefault="00C1728B" w:rsidP="00C1728B">
            <w:pPr>
              <w:ind w:firstLine="720"/>
              <w:jc w:val="both"/>
            </w:pPr>
            <w:r w:rsidRPr="00FF757B">
              <w:t>5(12.5%)</w:t>
            </w:r>
          </w:p>
        </w:tc>
      </w:tr>
    </w:tbl>
    <w:p w14:paraId="6E015D3A" w14:textId="77777777" w:rsidR="00C1728B" w:rsidRDefault="00C1728B" w:rsidP="00C1728B">
      <w:pPr>
        <w:jc w:val="both"/>
        <w:rPr>
          <w:sz w:val="12"/>
          <w:szCs w:val="12"/>
        </w:rPr>
      </w:pPr>
    </w:p>
    <w:p w14:paraId="456269CA" w14:textId="77777777" w:rsidR="00C1728B" w:rsidRDefault="00C1728B" w:rsidP="00C1728B">
      <w:pPr>
        <w:jc w:val="both"/>
        <w:rPr>
          <w:sz w:val="12"/>
          <w:szCs w:val="12"/>
        </w:rPr>
      </w:pPr>
    </w:p>
    <w:p w14:paraId="6B813DA0" w14:textId="77777777" w:rsidR="00C1728B" w:rsidRDefault="00C1728B" w:rsidP="00C1728B">
      <w:pPr>
        <w:jc w:val="both"/>
        <w:rPr>
          <w:sz w:val="12"/>
          <w:szCs w:val="12"/>
        </w:rPr>
      </w:pPr>
    </w:p>
    <w:p w14:paraId="58261BC2" w14:textId="77777777" w:rsidR="00C1728B" w:rsidRDefault="00C1728B" w:rsidP="00C1728B">
      <w:pPr>
        <w:jc w:val="both"/>
        <w:rPr>
          <w:sz w:val="12"/>
          <w:szCs w:val="12"/>
        </w:rPr>
      </w:pPr>
    </w:p>
    <w:p w14:paraId="4903CC40" w14:textId="77777777" w:rsidR="00C1728B" w:rsidRDefault="00C1728B" w:rsidP="00C1728B">
      <w:pPr>
        <w:jc w:val="both"/>
        <w:rPr>
          <w:sz w:val="12"/>
          <w:szCs w:val="12"/>
        </w:rPr>
      </w:pPr>
    </w:p>
    <w:p w14:paraId="31BF86DF" w14:textId="77777777" w:rsidR="00C1728B" w:rsidRDefault="00C1728B" w:rsidP="00C1728B">
      <w:pPr>
        <w:jc w:val="both"/>
        <w:rPr>
          <w:sz w:val="12"/>
          <w:szCs w:val="12"/>
        </w:rPr>
      </w:pPr>
    </w:p>
    <w:p w14:paraId="1BA5E7C4" w14:textId="77777777" w:rsidR="00C1728B" w:rsidRDefault="00C1728B" w:rsidP="00C1728B">
      <w:pPr>
        <w:jc w:val="both"/>
        <w:rPr>
          <w:sz w:val="12"/>
          <w:szCs w:val="12"/>
        </w:rPr>
      </w:pPr>
    </w:p>
    <w:p w14:paraId="46B8FA02" w14:textId="77777777" w:rsidR="00C1728B" w:rsidRDefault="00C1728B" w:rsidP="00C1728B">
      <w:pPr>
        <w:jc w:val="both"/>
        <w:rPr>
          <w:sz w:val="12"/>
          <w:szCs w:val="12"/>
        </w:rPr>
      </w:pPr>
    </w:p>
    <w:p w14:paraId="415BF438" w14:textId="77777777" w:rsidR="00C1728B" w:rsidRDefault="00C1728B" w:rsidP="00C1728B">
      <w:pPr>
        <w:jc w:val="both"/>
        <w:rPr>
          <w:sz w:val="12"/>
          <w:szCs w:val="12"/>
        </w:rPr>
      </w:pPr>
    </w:p>
    <w:p w14:paraId="7FB4EBD8" w14:textId="77777777" w:rsidR="00C1728B" w:rsidRDefault="00C1728B" w:rsidP="00C1728B">
      <w:pPr>
        <w:jc w:val="both"/>
        <w:rPr>
          <w:sz w:val="12"/>
          <w:szCs w:val="12"/>
        </w:rPr>
      </w:pPr>
    </w:p>
    <w:p w14:paraId="5AC8C610" w14:textId="77777777" w:rsidR="00C1728B" w:rsidRDefault="00C1728B" w:rsidP="00C1728B">
      <w:pPr>
        <w:jc w:val="both"/>
        <w:rPr>
          <w:sz w:val="12"/>
          <w:szCs w:val="12"/>
        </w:rPr>
      </w:pPr>
    </w:p>
    <w:p w14:paraId="636332BF" w14:textId="77777777" w:rsidR="00C1728B" w:rsidRDefault="00C1728B" w:rsidP="00C1728B">
      <w:pPr>
        <w:jc w:val="both"/>
        <w:rPr>
          <w:sz w:val="12"/>
          <w:szCs w:val="12"/>
        </w:rPr>
      </w:pPr>
    </w:p>
    <w:p w14:paraId="6F9EA88B" w14:textId="77777777" w:rsidR="00C1728B" w:rsidRDefault="00C1728B" w:rsidP="00C1728B">
      <w:pPr>
        <w:jc w:val="both"/>
        <w:rPr>
          <w:sz w:val="12"/>
          <w:szCs w:val="12"/>
        </w:rPr>
      </w:pPr>
    </w:p>
    <w:p w14:paraId="34B4D090" w14:textId="77777777" w:rsidR="00C1728B" w:rsidRDefault="00C1728B" w:rsidP="00C1728B">
      <w:pPr>
        <w:jc w:val="both"/>
        <w:rPr>
          <w:sz w:val="12"/>
          <w:szCs w:val="12"/>
        </w:rPr>
      </w:pPr>
    </w:p>
    <w:p w14:paraId="17B1E5BA" w14:textId="77777777" w:rsidR="00C1728B" w:rsidRDefault="00C1728B" w:rsidP="00C1728B">
      <w:pPr>
        <w:jc w:val="both"/>
        <w:rPr>
          <w:sz w:val="12"/>
          <w:szCs w:val="12"/>
        </w:rPr>
      </w:pPr>
    </w:p>
    <w:p w14:paraId="1EC6DA01" w14:textId="77777777" w:rsidR="00C1728B" w:rsidRDefault="00C1728B" w:rsidP="00C1728B">
      <w:pPr>
        <w:jc w:val="both"/>
        <w:rPr>
          <w:sz w:val="12"/>
          <w:szCs w:val="12"/>
        </w:rPr>
      </w:pPr>
    </w:p>
    <w:p w14:paraId="4DA60C23" w14:textId="77777777" w:rsidR="00C1728B" w:rsidRDefault="00C1728B" w:rsidP="00C1728B">
      <w:pPr>
        <w:jc w:val="both"/>
        <w:rPr>
          <w:sz w:val="12"/>
          <w:szCs w:val="12"/>
        </w:rPr>
      </w:pPr>
    </w:p>
    <w:p w14:paraId="762C8842" w14:textId="77777777" w:rsidR="00C1728B" w:rsidRDefault="00C1728B" w:rsidP="00C1728B">
      <w:pPr>
        <w:jc w:val="both"/>
        <w:rPr>
          <w:sz w:val="12"/>
          <w:szCs w:val="12"/>
        </w:rPr>
      </w:pPr>
    </w:p>
    <w:p w14:paraId="25743B3F" w14:textId="77777777" w:rsidR="00C1728B" w:rsidRDefault="00C1728B" w:rsidP="00C1728B">
      <w:pPr>
        <w:jc w:val="both"/>
        <w:rPr>
          <w:sz w:val="12"/>
          <w:szCs w:val="12"/>
        </w:rPr>
      </w:pPr>
    </w:p>
    <w:p w14:paraId="7711AFAF" w14:textId="77777777" w:rsidR="00C1728B" w:rsidRDefault="00C1728B" w:rsidP="00C1728B">
      <w:pPr>
        <w:jc w:val="both"/>
        <w:rPr>
          <w:sz w:val="12"/>
          <w:szCs w:val="12"/>
        </w:rPr>
      </w:pPr>
    </w:p>
    <w:p w14:paraId="7C8DB792" w14:textId="77777777" w:rsidR="00C1728B" w:rsidRDefault="00C1728B" w:rsidP="00C1728B">
      <w:pPr>
        <w:jc w:val="both"/>
        <w:rPr>
          <w:sz w:val="12"/>
          <w:szCs w:val="12"/>
        </w:rPr>
      </w:pPr>
    </w:p>
    <w:p w14:paraId="63C84490" w14:textId="77777777" w:rsidR="00C1728B" w:rsidRDefault="00C1728B" w:rsidP="00C1728B">
      <w:pPr>
        <w:jc w:val="both"/>
        <w:rPr>
          <w:sz w:val="12"/>
          <w:szCs w:val="12"/>
        </w:rPr>
      </w:pPr>
    </w:p>
    <w:p w14:paraId="14FB3124" w14:textId="77777777" w:rsidR="00C1728B" w:rsidRDefault="00C1728B" w:rsidP="00C1728B">
      <w:pPr>
        <w:jc w:val="both"/>
        <w:rPr>
          <w:sz w:val="12"/>
          <w:szCs w:val="12"/>
        </w:rPr>
      </w:pPr>
    </w:p>
    <w:p w14:paraId="0398E9FB" w14:textId="77777777" w:rsidR="00C1728B" w:rsidRDefault="00C1728B" w:rsidP="00C1728B">
      <w:pPr>
        <w:jc w:val="both"/>
        <w:rPr>
          <w:sz w:val="12"/>
          <w:szCs w:val="12"/>
        </w:rPr>
      </w:pPr>
    </w:p>
    <w:p w14:paraId="1C54E2A1" w14:textId="77777777" w:rsidR="00C1728B" w:rsidRDefault="00C1728B" w:rsidP="00C1728B">
      <w:pPr>
        <w:jc w:val="both"/>
        <w:rPr>
          <w:sz w:val="12"/>
          <w:szCs w:val="12"/>
        </w:rPr>
      </w:pPr>
    </w:p>
    <w:p w14:paraId="7F8706E9" w14:textId="77777777" w:rsidR="00C1728B" w:rsidRDefault="00C1728B" w:rsidP="00C1728B">
      <w:pPr>
        <w:jc w:val="both"/>
        <w:rPr>
          <w:sz w:val="12"/>
          <w:szCs w:val="12"/>
        </w:rPr>
      </w:pPr>
    </w:p>
    <w:p w14:paraId="7A212355" w14:textId="77777777" w:rsidR="00C1728B" w:rsidRDefault="00C1728B" w:rsidP="00C1728B">
      <w:pPr>
        <w:jc w:val="both"/>
        <w:rPr>
          <w:sz w:val="12"/>
          <w:szCs w:val="12"/>
        </w:rPr>
      </w:pPr>
    </w:p>
    <w:p w14:paraId="64557C79" w14:textId="77777777" w:rsidR="00C1728B" w:rsidRDefault="00C1728B" w:rsidP="00C1728B">
      <w:pPr>
        <w:jc w:val="both"/>
        <w:rPr>
          <w:sz w:val="12"/>
          <w:szCs w:val="12"/>
        </w:rPr>
      </w:pPr>
    </w:p>
    <w:p w14:paraId="3E950CE4" w14:textId="77777777" w:rsidR="00C1728B" w:rsidRDefault="00C1728B" w:rsidP="00C1728B">
      <w:pPr>
        <w:jc w:val="both"/>
        <w:rPr>
          <w:sz w:val="12"/>
          <w:szCs w:val="12"/>
        </w:rPr>
      </w:pPr>
    </w:p>
    <w:p w14:paraId="771C65FC" w14:textId="77777777" w:rsidR="00C1728B" w:rsidRDefault="00C1728B" w:rsidP="00C1728B">
      <w:pPr>
        <w:jc w:val="both"/>
        <w:rPr>
          <w:sz w:val="12"/>
          <w:szCs w:val="12"/>
        </w:rPr>
      </w:pPr>
    </w:p>
    <w:p w14:paraId="1781689D" w14:textId="77777777" w:rsidR="00C1728B" w:rsidRDefault="00C1728B" w:rsidP="00C1728B">
      <w:pPr>
        <w:jc w:val="both"/>
        <w:rPr>
          <w:sz w:val="12"/>
          <w:szCs w:val="12"/>
        </w:rPr>
      </w:pPr>
    </w:p>
    <w:p w14:paraId="5A971072" w14:textId="77777777" w:rsidR="00C1728B" w:rsidRDefault="00C1728B" w:rsidP="00C1728B">
      <w:pPr>
        <w:jc w:val="both"/>
        <w:rPr>
          <w:sz w:val="12"/>
          <w:szCs w:val="12"/>
        </w:rPr>
      </w:pPr>
    </w:p>
    <w:p w14:paraId="705ED534" w14:textId="77777777" w:rsidR="00C1728B" w:rsidRDefault="00C1728B" w:rsidP="00C1728B">
      <w:pPr>
        <w:jc w:val="both"/>
        <w:rPr>
          <w:sz w:val="12"/>
          <w:szCs w:val="12"/>
        </w:rPr>
      </w:pPr>
    </w:p>
    <w:p w14:paraId="01262C66" w14:textId="77777777" w:rsidR="00C1728B" w:rsidRDefault="00C1728B" w:rsidP="00C1728B">
      <w:pPr>
        <w:jc w:val="both"/>
        <w:rPr>
          <w:sz w:val="12"/>
          <w:szCs w:val="12"/>
        </w:rPr>
      </w:pPr>
    </w:p>
    <w:p w14:paraId="3081E5F3" w14:textId="77777777" w:rsidR="00C1728B" w:rsidRDefault="00C1728B" w:rsidP="00C1728B">
      <w:pPr>
        <w:jc w:val="both"/>
        <w:rPr>
          <w:sz w:val="12"/>
          <w:szCs w:val="12"/>
        </w:rPr>
      </w:pPr>
    </w:p>
    <w:p w14:paraId="025F6B28" w14:textId="77777777" w:rsidR="00C1728B" w:rsidRDefault="00C1728B" w:rsidP="00C1728B">
      <w:pPr>
        <w:jc w:val="both"/>
        <w:rPr>
          <w:sz w:val="12"/>
          <w:szCs w:val="12"/>
        </w:rPr>
      </w:pPr>
    </w:p>
    <w:p w14:paraId="219E8E46" w14:textId="77777777" w:rsidR="00C1728B" w:rsidRDefault="00C1728B" w:rsidP="00C1728B">
      <w:pPr>
        <w:jc w:val="both"/>
        <w:rPr>
          <w:sz w:val="12"/>
          <w:szCs w:val="12"/>
        </w:rPr>
      </w:pPr>
    </w:p>
    <w:p w14:paraId="5AC4E01F" w14:textId="77777777" w:rsidR="00C1728B" w:rsidRDefault="00C1728B" w:rsidP="00C1728B">
      <w:pPr>
        <w:jc w:val="both"/>
        <w:rPr>
          <w:sz w:val="12"/>
          <w:szCs w:val="12"/>
        </w:rPr>
      </w:pPr>
    </w:p>
    <w:p w14:paraId="4DD6DF70" w14:textId="77777777" w:rsidR="00C1728B" w:rsidRDefault="00C1728B" w:rsidP="00C1728B">
      <w:pPr>
        <w:jc w:val="both"/>
        <w:rPr>
          <w:sz w:val="12"/>
          <w:szCs w:val="12"/>
        </w:rPr>
      </w:pPr>
    </w:p>
    <w:p w14:paraId="53BEB2E7" w14:textId="7CE436BA" w:rsidR="00FF757B" w:rsidRDefault="00FF757B" w:rsidP="00C1728B">
      <w:pPr>
        <w:jc w:val="both"/>
      </w:pPr>
      <w:r w:rsidRPr="00FF757B">
        <w:t xml:space="preserve">The demographic characteristics of the study cohort revealed a male predominance (77.5%), which aligns with previous research indicating higher susceptibility of males to colorectal pathologies, including malignancies and inflammatory bowel diseases </w:t>
      </w:r>
      <w:r w:rsidRPr="00FF757B">
        <w:fldChar w:fldCharType="begin" w:fldLock="1"/>
      </w:r>
      <w:r w:rsidRPr="00FF757B">
        <w:instrText>ADDIN CSL_CITATION {"citationItems":[{"id":"ITEM-1","itemData":{"DOI":"10.3322/caac.21660","ISSN":"1542-4863 (Electronic)","PMID":"33538338","abstract":"This article provides an update on the global cancer burden using the GLOBOCAN  2020 estimates of cancer incidence and mortality produced by the International Agency for Research on Cancer. Worldwide, an estimated 19.3 million new cancer cases (18.1 million excluding nonmelanoma skin cancer) and almost 10.0 million cancer deaths (9.9 million excluding nonmelanoma skin cancer) occurred in 2020. Female breast cancer has surpassed lung cancer as the most commonly diagnosed cancer, with an estimated 2.3 million new cases (11.7%), followed by lung (11.4%), colorectal (10.0 %), prostate (7.3%), and stomach (5.6%) cancers. Lung cancer remained the leading cause of cancer death, with an estimated 1.8 million deaths (18%), followed by colorectal (9.4%), liver (8.3%), stomach (7.7%), and female breast (6.9%) cancers. Overall incidence was from 2-fold to 3-fold higher in transitioned versus transitioning countries for both sexes, whereas mortality varied &lt;2-fold for men and little for women. Death rates for female breast and cervical cancers, however, were considerably higher in transitioning versus transitioned countries (15.0 vs 12.8 per 100,000 and 12.4 vs 5.2 per 100,000, respectively). The global cancer burden is expected to be 28.4 million cases in 2040, a 47% rise from 2020, with a larger increase in transitioning (64% to 95%) versus transitioned (32% to 56%) countries due to demographic changes, although this may be further exacerbated by increasing risk factors associated with globalization and a growing economy. Efforts to build a sustainable infrastructure for the dissemination of cancer prevention measures and provision of cancer care in transitioning countries is critical for global cancer control.","author":[{"dropping-particle":"","family":"Sung","given":"Hyuna","non-dropping-particle":"","parse-names":false,"suffix":""},{"dropping-particle":"","family":"Ferlay","given":"Jacques","non-dropping-particle":"","parse-names":false,"suffix":""},{"dropping-particle":"","family":"Siegel","given":"Rebecca L","non-dropping-particle":"","parse-names":false,"suffix":""},{"dropping-particle":"","family":"Laversanne","given":"Mathieu","non-dropping-particle":"","parse-names":false,"suffix":""},{"dropping-particle":"","family":"Soerjomataram","given":"Isabelle","non-dropping-particle":"","parse-names":false,"suffix":""},{"dropping-particle":"","family":"Jemal","given":"Ahmedin","non-dropping-particle":"","parse-names":false,"suffix":""},{"dropping-particle":"","family":"Bray","given":"Freddie","non-dropping-particle":"","parse-names":false,"suffix":""}],"container-title":"CA: a cancer journal for clinicians","id":"ITEM-1","issue":"3","issued":{"date-parts":[["2021","5"]]},"language":"eng","page":"209-249","publisher-place":"United States","title":"Global Cancer Statistics 2020: GLOBOCAN Estimates of Incidence and Mortality  Worldwide for 36 Cancers in 185 Countries.","type":"article-journal","volume":"71"},"uris":["http://www.mendeley.com/documents/?uuid=b2d6d1a8-a185-44b6-9286-47a714efdcd5"]}],"mendeley":{"formattedCitation":"[6]","plainTextFormattedCitation":"[6]","previouslyFormattedCitation":"[6]"},"properties":{"noteIndex":0},"schema":"https://github.com/citation-style-language/schema/raw/master/csl-citation.json"}</w:instrText>
      </w:r>
      <w:r w:rsidRPr="00FF757B">
        <w:fldChar w:fldCharType="separate"/>
      </w:r>
      <w:r w:rsidRPr="00FF757B">
        <w:t>[6]</w:t>
      </w:r>
      <w:r w:rsidRPr="00FF757B">
        <w:rPr>
          <w:lang w:val="id-ID"/>
        </w:rPr>
        <w:fldChar w:fldCharType="end"/>
      </w:r>
      <w:r w:rsidRPr="00FF757B">
        <w:t xml:space="preserve">. For instance, a global study by Sung et al. (2021) reported a male-to-female ratio </w:t>
      </w:r>
      <w:r w:rsidRPr="00FF757B">
        <w:lastRenderedPageBreak/>
        <w:t xml:space="preserve">of 1.5:1 for colorectal cancer, suggesting hormonal or lifestyle factors may contribute to this disparity </w:t>
      </w:r>
      <w:r w:rsidRPr="00FF757B">
        <w:fldChar w:fldCharType="begin" w:fldLock="1"/>
      </w:r>
      <w:r w:rsidRPr="00FF757B">
        <w:instrText>ADDIN CSL_CITATION {"citationItems":[{"id":"ITEM-1","itemData":{"DOI":"10.3322/caac.21660","ISSN":"1542-4863 (Electronic)","PMID":"33538338","abstract":"This article provides an update on the global cancer burden using the GLOBOCAN  2020 estimates of cancer incidence and mortality produced by the International Agency for Research on Cancer. Worldwide, an estimated 19.3 million new cancer cases (18.1 million excluding nonmelanoma skin cancer) and almost 10.0 million cancer deaths (9.9 million excluding nonmelanoma skin cancer) occurred in 2020. Female breast cancer has surpassed lung cancer as the most commonly diagnosed cancer, with an estimated 2.3 million new cases (11.7%), followed by lung (11.4%), colorectal (10.0 %), prostate (7.3%), and stomach (5.6%) cancers. Lung cancer remained the leading cause of cancer death, with an estimated 1.8 million deaths (18%), followed by colorectal (9.4%), liver (8.3%), stomach (7.7%), and female breast (6.9%) cancers. Overall incidence was from 2-fold to 3-fold higher in transitioned versus transitioning countries for both sexes, whereas mortality varied &lt;2-fold for men and little for women. Death rates for female breast and cervical cancers, however, were considerably higher in transitioning versus transitioned countries (15.0 vs 12.8 per 100,000 and 12.4 vs 5.2 per 100,000, respectively). The global cancer burden is expected to be 28.4 million cases in 2040, a 47% rise from 2020, with a larger increase in transitioning (64% to 95%) versus transitioned (32% to 56%) countries due to demographic changes, although this may be further exacerbated by increasing risk factors associated with globalization and a growing economy. Efforts to build a sustainable infrastructure for the dissemination of cancer prevention measures and provision of cancer care in transitioning countries is critical for global cancer control.","author":[{"dropping-particle":"","family":"Sung","given":"Hyuna","non-dropping-particle":"","parse-names":false,"suffix":""},{"dropping-particle":"","family":"Ferlay","given":"Jacques","non-dropping-particle":"","parse-names":false,"suffix":""},{"dropping-particle":"","family":"Siegel","given":"Rebecca L","non-dropping-particle":"","parse-names":false,"suffix":""},{"dropping-particle":"","family":"Laversanne","given":"Mathieu","non-dropping-particle":"","parse-names":false,"suffix":""},{"dropping-particle":"","family":"Soerjomataram","given":"Isabelle","non-dropping-particle":"","parse-names":false,"suffix":""},{"dropping-particle":"","family":"Jemal","given":"Ahmedin","non-dropping-particle":"","parse-names":false,"suffix":""},{"dropping-particle":"","family":"Bray","given":"Freddie","non-dropping-particle":"","parse-names":false,"suffix":""}],"container-title":"CA: a cancer journal for clinicians","id":"ITEM-1","issue":"3","issued":{"date-parts":[["2021","5"]]},"language":"eng","page":"209-249","publisher-place":"United States","title":"Global Cancer Statistics 2020: GLOBOCAN Estimates of Incidence and Mortality  Worldwide for 36 Cancers in 185 Countries.","type":"article-journal","volume":"71"},"uris":["http://www.mendeley.com/documents/?uuid=b2d6d1a8-a185-44b6-9286-47a714efdcd5"]}],"mendeley":{"formattedCitation":"[6]","plainTextFormattedCitation":"[6]","previouslyFormattedCitation":"[6]"},"properties":{"noteIndex":0},"schema":"https://github.com/citation-style-language/schema/raw/master/csl-citation.json"}</w:instrText>
      </w:r>
      <w:r w:rsidRPr="00FF757B">
        <w:fldChar w:fldCharType="separate"/>
      </w:r>
      <w:r w:rsidRPr="00FF757B">
        <w:t>[6]</w:t>
      </w:r>
      <w:r w:rsidRPr="00FF757B">
        <w:rPr>
          <w:lang w:val="id-ID"/>
        </w:rPr>
        <w:fldChar w:fldCharType="end"/>
      </w:r>
      <w:r w:rsidRPr="00FF757B">
        <w:t xml:space="preserve">. The age distribution, with 55% of patients over 50 years, mirrors trends observed in colorectal adenocarcinoma and chronic gastrointestinal disorders, where advancing age is a well-established risk factor  </w:t>
      </w:r>
      <w:r w:rsidRPr="00FF757B">
        <w:fldChar w:fldCharType="begin" w:fldLock="1"/>
      </w:r>
      <w:r w:rsidRPr="00FF757B">
        <w:instrText>ADDIN CSL_CITATION {"citationItems":[{"id":"ITEM-1","itemData":{"DOI":"10.1136/gutjnl-2015-310912","ISSN":"1468-3288 (Electronic)","PMID":"26818619","abstract":"OBJECTIVE: The global burden of colorectal cancer (CRC) is expected to increase  by 60% to more than 2.2 million new cases and 1.1 million deaths by 2030. In this study, we aim to describe the recent CRC incidence and mortality patterns and trends linking the findings to the prospects of reducing the burden through cancer prevention and care. DESIGN: Estimates of sex-specific CRC incidence and mortality rates in 2012 were extracted from the GLOBOCAN database. Temporal patterns were assessed for 37 countries using data from Cancer Incidence in Five Continents (CI5) volumes I-X and the WHO mortality database. Trends were assessed via the annual percentage change using joinpoint regression and discussed in relation to human development levels. RESULTS: CRC incidence and mortality rates vary up to 10-fold worldwide, with distinct gradients across human development levels, pointing towards widening disparities and an increasing burden in countries in transition. Generally, CRC incidence and mortality rates are still rising rapidly in many low-income and middle-income countries; stabilising or decreasing trends tend to be seen in highly developed countries where rates remain among the highest in the world. CONCLUSIONS: Patterns and trends in CRC incidence and mortality correlate with present human development levels and their incremental changes might reflect the adoption of more western lifestyles. Targeted resource-dependent interventions, including primary prevention in low-income, supplemented with early detection in high-income settings, are needed to reduce the number of patients with CRC in future decades.","author":[{"dropping-particle":"","family":"Arnold","given":"Melina","non-dropping-particle":"","parse-names":false,"suffix":""},{"dropping-particle":"","family":"Sierra","given":"Mónica S","non-dropping-particle":"","parse-names":false,"suffix":""},{"dropping-particle":"","family":"Laversanne","given":"Mathieu","non-dropping-particle":"","parse-names":false,"suffix":""},{"dropping-particle":"","family":"Soerjomataram","given":"Isabelle","non-dropping-particle":"","parse-names":false,"suffix":""},{"dropping-particle":"","family":"Jemal","given":"Ahmedin","non-dropping-particle":"","parse-names":false,"suffix":""},{"dropping-particle":"","family":"Bray","given":"Freddie","non-dropping-particle":"","parse-names":false,"suffix":""}],"container-title":"Gut","id":"ITEM-1","issue":"4","issued":{"date-parts":[["2017","4"]]},"language":"eng","page":"683-691","publisher-place":"England","title":"Global patterns and trends in colorectal cancer incidence and mortality.","type":"article-journal","volume":"66"},"uris":["http://www.mendeley.com/documents/?uuid=5ca536ed-4e86-4cf7-a21f-dfaef9e61551"]}],"mendeley":{"formattedCitation":"[16]","plainTextFormattedCitation":"[16]","previouslyFormattedCitation":"[16]"},"properties":{"noteIndex":0},"schema":"https://github.com/citation-style-language/schema/raw/master/csl-citation.json"}</w:instrText>
      </w:r>
      <w:r w:rsidRPr="00FF757B">
        <w:fldChar w:fldCharType="separate"/>
      </w:r>
      <w:r w:rsidRPr="00FF757B">
        <w:t>[16]</w:t>
      </w:r>
      <w:r w:rsidRPr="00FF757B">
        <w:rPr>
          <w:lang w:val="id-ID"/>
        </w:rPr>
        <w:fldChar w:fldCharType="end"/>
      </w:r>
      <w:r w:rsidRPr="00FF757B">
        <w:t xml:space="preserve">. This parallels findings from Arnold et al. (2017), who noted that over 60% of colorectal cancer cases occur in individuals aged ≥50 years, underscoring the importance of age-targeted screening programs </w:t>
      </w:r>
      <w:r w:rsidRPr="00FF757B">
        <w:fldChar w:fldCharType="begin" w:fldLock="1"/>
      </w:r>
      <w:r w:rsidRPr="00FF757B">
        <w:instrText>ADDIN CSL_CITATION {"citationItems":[{"id":"ITEM-1","itemData":{"DOI":"10.1136/gutjnl-2015-310912","ISSN":"1468-3288 (Electronic)","PMID":"26818619","abstract":"OBJECTIVE: The global burden of colorectal cancer (CRC) is expected to increase  by 60% to more than 2.2 million new cases and 1.1 million deaths by 2030. In this study, we aim to describe the recent CRC incidence and mortality patterns and trends linking the findings to the prospects of reducing the burden through cancer prevention and care. DESIGN: Estimates of sex-specific CRC incidence and mortality rates in 2012 were extracted from the GLOBOCAN database. Temporal patterns were assessed for 37 countries using data from Cancer Incidence in Five Continents (CI5) volumes I-X and the WHO mortality database. Trends were assessed via the annual percentage change using joinpoint regression and discussed in relation to human development levels. RESULTS: CRC incidence and mortality rates vary up to 10-fold worldwide, with distinct gradients across human development levels, pointing towards widening disparities and an increasing burden in countries in transition. Generally, CRC incidence and mortality rates are still rising rapidly in many low-income and middle-income countries; stabilising or decreasing trends tend to be seen in highly developed countries where rates remain among the highest in the world. CONCLUSIONS: Patterns and trends in CRC incidence and mortality correlate with present human development levels and their incremental changes might reflect the adoption of more western lifestyles. Targeted resource-dependent interventions, including primary prevention in low-income, supplemented with early detection in high-income settings, are needed to reduce the number of patients with CRC in future decades.","author":[{"dropping-particle":"","family":"Arnold","given":"Melina","non-dropping-particle":"","parse-names":false,"suffix":""},{"dropping-particle":"","family":"Sierra","given":"Mónica S","non-dropping-particle":"","parse-names":false,"suffix":""},{"dropping-particle":"","family":"Laversanne","given":"Mathieu","non-dropping-particle":"","parse-names":false,"suffix":""},{"dropping-particle":"","family":"Soerjomataram","given":"Isabelle","non-dropping-particle":"","parse-names":false,"suffix":""},{"dropping-particle":"","family":"Jemal","given":"Ahmedin","non-dropping-particle":"","parse-names":false,"suffix":""},{"dropping-particle":"","family":"Bray","given":"Freddie","non-dropping-particle":"","parse-names":false,"suffix":""}],"container-title":"Gut","id":"ITEM-1","issue":"4","issued":{"date-parts":[["2017","4"]]},"language":"eng","page":"683-691","publisher-place":"England","title":"Global patterns and trends in colorectal cancer incidence and mortality.","type":"article-journal","volume":"66"},"uris":["http://www.mendeley.com/documents/?uuid=5ca536ed-4e86-4cf7-a21f-dfaef9e61551"]}],"mendeley":{"formattedCitation":"[16]","plainTextFormattedCitation":"[16]","previouslyFormattedCitation":"[16]"},"properties":{"noteIndex":0},"schema":"https://github.com/citation-style-language/schema/raw/master/csl-citation.json"}</w:instrText>
      </w:r>
      <w:r w:rsidRPr="00FF757B">
        <w:fldChar w:fldCharType="separate"/>
      </w:r>
      <w:r w:rsidRPr="00FF757B">
        <w:t>[16]</w:t>
      </w:r>
      <w:r w:rsidRPr="00FF757B">
        <w:rPr>
          <w:lang w:val="id-ID"/>
        </w:rPr>
        <w:fldChar w:fldCharType="end"/>
      </w:r>
      <w:r w:rsidRPr="00FF757B">
        <w:t>.</w:t>
      </w:r>
      <w:r w:rsidR="00C1728B">
        <w:t xml:space="preserve"> </w:t>
      </w:r>
    </w:p>
    <w:p w14:paraId="4746A993" w14:textId="77777777" w:rsidR="00C1728B" w:rsidRPr="00C1728B" w:rsidRDefault="00C1728B" w:rsidP="00C1728B">
      <w:pPr>
        <w:jc w:val="both"/>
        <w:rPr>
          <w:sz w:val="12"/>
          <w:szCs w:val="12"/>
        </w:rPr>
      </w:pPr>
    </w:p>
    <w:p w14:paraId="55E23B02" w14:textId="1B09DCCE" w:rsidR="00FF757B" w:rsidRPr="00FF757B" w:rsidRDefault="00FF757B" w:rsidP="00C1728B">
      <w:pPr>
        <w:jc w:val="both"/>
      </w:pPr>
      <w:r w:rsidRPr="00FF757B">
        <w:t xml:space="preserve">Smoking history, reported in 47.5% of patients (ex-smokers or current smokers), is consistent with studies linking tobacco use to gastrointestinal inflammation and carcinogenesis. </w:t>
      </w:r>
      <w:proofErr w:type="spellStart"/>
      <w:r w:rsidRPr="00FF757B">
        <w:t>Ladeiras</w:t>
      </w:r>
      <w:proofErr w:type="spellEnd"/>
      <w:r w:rsidRPr="00FF757B">
        <w:t>-Lopes et al. (2008) demonstrated that smoking increases the risk of gastric and colorectal malignancies by 1.5–2.0-fold, likely due to chronic mucosal damage and oxidative stress</w:t>
      </w:r>
      <w:r w:rsidR="00441FC8">
        <w:t xml:space="preserve"> </w:t>
      </w:r>
      <w:r w:rsidRPr="00FF757B">
        <w:fldChar w:fldCharType="begin" w:fldLock="1"/>
      </w:r>
      <w:r w:rsidRPr="00FF757B">
        <w:instrText>ADDIN CSL_CITATION {"citationItems":[{"id":"ITEM-1","itemData":{"DOI":"10.1007/s10552-008-9132-y","ISSN":"0957-5243 (Print)","PMID":"18293090","abstract":"OBJECTIVE: We conducted a systematic review of studies addressing the relation  between cigarette smoking and gastric cancer to estimate the magnitude of the association for different levels of exposure and cancer locations. METHODS: Published cohort, case-cohort, and nested case-control studies were identified through PubMed, Scopus, and Web of Science searches, from inception to July 2007. Relative risk (RR) estimates referring to the comparison of two categories of exposure (e.g., current smokers vs. never smokers) were combined using a random effects model. Generalized least squares regression was used for trend estimation. Heterogeneity was quantified using the I (2) statistic. RESULTS: Forty-two articles were considered for the systematic review. Comparing current smokers with never smokers: the summary RR estimates were 1.62 in males (95% CI: 1.50-1.75; I (2) = 46.0%; 18 studies) and 1.20 in females (95% CI: 1.01-1.43; I (2) = 49.8%; nine studies); the RR increased from 1.3 for the lowest consumptions to 1.7 for the smoking of approximately 30 cigarettes per day in the trend estimation analysis; smoking was significantly associated with both cardia (RR = 1.87; 95% CI: 1.31-2.67; I (2) = 73.2%; nine studies) and non-cardia (RR = 1.60; 95% CI: 1.41-1.80; I (2) = 18.9%; nine studies) cancers. CONCLUSION: Our study provides solid evidence to classify smoking as the most important behavioral risk factor for gastric cancer.","author":[{"dropping-particle":"","family":"Ladeiras-Lopes","given":"Ricardo","non-dropping-particle":"","parse-names":false,"suffix":""},{"dropping-particle":"","family":"Pereira","given":"Alexandre Kirchhofer","non-dropping-particle":"","parse-names":false,"suffix":""},{"dropping-particle":"","family":"Nogueira","given":"Amanda","non-dropping-particle":"","parse-names":false,"suffix":""},{"dropping-particle":"","family":"Pinheiro-Torres","given":"Tiago","non-dropping-particle":"","parse-names":false,"suffix":""},{"dropping-particle":"","family":"Pinto","given":"Isabel","non-dropping-particle":"","parse-names":false,"suffix":""},{"dropping-particle":"","family":"Santos-Pereira","given":"Ricardo","non-dropping-particle":"","parse-names":false,"suffix":""},{"dropping-particle":"","family":"Lunet","given":"Nuno","non-dropping-particle":"","parse-names":false,"suffix":""}],"container-title":"Cancer causes &amp; control : CCC","id":"ITEM-1","issue":"7","issued":{"date-parts":[["2008","9"]]},"language":"eng","page":"689-701","publisher-place":"Netherlands","title":"Smoking and gastric cancer: systematic review and meta-analysis of cohort  studies.","type":"article-journal","volume":"19"},"uris":["http://www.mendeley.com/documents/?uuid=25390350-1f43-4642-8b05-6d20519fa4c1"]}],"mendeley":{"formattedCitation":"[17]","plainTextFormattedCitation":"[17]","previouslyFormattedCitation":"[17]"},"properties":{"noteIndex":0},"schema":"https://github.com/citation-style-language/schema/raw/master/csl-citation.json"}</w:instrText>
      </w:r>
      <w:r w:rsidRPr="00FF757B">
        <w:fldChar w:fldCharType="separate"/>
      </w:r>
      <w:r w:rsidRPr="00FF757B">
        <w:t>[17]</w:t>
      </w:r>
      <w:r w:rsidRPr="00FF757B">
        <w:rPr>
          <w:lang w:val="id-ID"/>
        </w:rPr>
        <w:fldChar w:fldCharType="end"/>
      </w:r>
      <w:r w:rsidRPr="00FF757B">
        <w:t>. The near-equal split between smokers and non-smokers in this cohort highlights the need for targeted smoking cessation interventions in high-risk populations.</w:t>
      </w:r>
      <w:r w:rsidR="00C1728B">
        <w:t xml:space="preserve"> </w:t>
      </w:r>
    </w:p>
    <w:p w14:paraId="5A1484F7" w14:textId="77777777" w:rsidR="00C1728B" w:rsidRPr="00C1728B" w:rsidRDefault="00C1728B" w:rsidP="00C1728B">
      <w:pPr>
        <w:jc w:val="both"/>
        <w:rPr>
          <w:sz w:val="12"/>
          <w:szCs w:val="12"/>
        </w:rPr>
      </w:pPr>
    </w:p>
    <w:p w14:paraId="62FE9590" w14:textId="64689B15" w:rsidR="00FF757B" w:rsidRPr="00FF757B" w:rsidRDefault="00FF757B" w:rsidP="00C1728B">
      <w:pPr>
        <w:jc w:val="both"/>
      </w:pPr>
      <w:r w:rsidRPr="00FF757B">
        <w:t xml:space="preserve">Abdominal pain (42.5%) and rectal bleeding (40%) emerged as the most prevalent symptoms, corroborating findings from </w:t>
      </w:r>
      <w:proofErr w:type="spellStart"/>
      <w:r w:rsidRPr="00FF757B">
        <w:t>Kuipers</w:t>
      </w:r>
      <w:proofErr w:type="spellEnd"/>
      <w:r w:rsidRPr="00FF757B">
        <w:t xml:space="preserve"> et al. (2015), who identified these as hallmark features of colorectal cancer and inflammatory bowel disease </w:t>
      </w:r>
      <w:r w:rsidRPr="00FF757B">
        <w:fldChar w:fldCharType="begin" w:fldLock="1"/>
      </w:r>
      <w:r w:rsidRPr="00FF757B">
        <w:instrText>ADDIN CSL_CITATION {"citationItems":[{"id":"ITEM-1","itemData":{"DOI":"10.1038/nrdp.2015.65","ISSN":"2056-676X (Electronic)","PMID":"27189416","abstract":"Colorectal cancer had a low incidence several decades ago. However, it has become  a predominant cancer and now accounts for approximately 10% of cancer-related mortality in western countries. The 'rise' of colorectal cancer in developed countries can be attributed to the increasingly ageing population, unfavourable modern dietary habits and an increase in risk factors, such as smoking, low physical exercise and obesity. New treatments for primary and metastatic colorectal cancer have emerged, providing additional options for patients; these treatments include laparoscopic surgery for primary disease, more-aggressive resection of metastatic disease (such as liver and pulmonary metastases), radiotherapy for rectal cancer, and neoadjuvant and palliative chemotherapies. However, these new treatment options have had limited impact on cure rates and long-term survival. For these reasons, and the recognition that colorectal cancer is long preceded by a polypoid precursor, screening programmes have gained momentum. This Primer provides an overview of the current state of the art of knowledge on the epidemiology and mechanisms of colorectal cancer, as well as on diagnosis and treatment.","author":[{"dropping-particle":"","family":"Kuipers","given":"Ernst J","non-dropping-particle":"","parse-names":false,"suffix":""},{"dropping-particle":"","family":"Grady","given":"William M","non-dropping-particle":"","parse-names":false,"suffix":""},{"dropping-particle":"","family":"Lieberman","given":"David","non-dropping-particle":"","parse-names":false,"suffix":""},{"dropping-particle":"","family":"Seufferlein","given":"Thomas","non-dropping-particle":"","parse-names":false,"suffix":""},{"dropping-particle":"","family":"Sung","given":"Joseph J","non-dropping-particle":"","parse-names":false,"suffix":""},{"dropping-particle":"","family":"Boelens","given":"Petra G","non-dropping-particle":"","parse-names":false,"suffix":""},{"dropping-particle":"","family":"Velde","given":"Cornelis J H","non-dropping-particle":"van de","parse-names":false,"suffix":""},{"dropping-particle":"","family":"Watanabe","given":"Toshiaki","non-dropping-particle":"","parse-names":false,"suffix":""}],"container-title":"Nature reviews. Disease primers","id":"ITEM-1","issued":{"date-parts":[["2015","11"]]},"language":"eng","page":"15065","publisher-place":"England","title":"Colorectal cancer.","type":"article-journal","volume":"1"},"uris":["http://www.mendeley.com/documents/?uuid=35596fa7-1aad-4a24-aafd-e677157af5d3"]}],"mendeley":{"formattedCitation":"[18]","plainTextFormattedCitation":"[18]","previouslyFormattedCitation":"[18]"},"properties":{"noteIndex":0},"schema":"https://github.com/citation-style-language/schema/raw/master/csl-citation.json"}</w:instrText>
      </w:r>
      <w:r w:rsidRPr="00FF757B">
        <w:fldChar w:fldCharType="separate"/>
      </w:r>
      <w:r w:rsidRPr="00FF757B">
        <w:t>[18]</w:t>
      </w:r>
      <w:r w:rsidRPr="00FF757B">
        <w:rPr>
          <w:lang w:val="id-ID"/>
        </w:rPr>
        <w:fldChar w:fldCharType="end"/>
      </w:r>
      <w:r w:rsidRPr="00FF757B">
        <w:t>. However, the lower prevalence of chronic diarrhea (10%) and constipation (7.5%) contrasts with larger studies, such as Brenner et al. (2014), where chronic diarrhea was reported in 25–30% of colorectal cancer patients</w:t>
      </w:r>
      <w:r w:rsidR="00441FC8">
        <w:t xml:space="preserve"> </w:t>
      </w:r>
      <w:r w:rsidRPr="00FF757B">
        <w:fldChar w:fldCharType="begin" w:fldLock="1"/>
      </w:r>
      <w:r w:rsidRPr="00FF757B">
        <w:instrText>ADDIN CSL_CITATION {"citationItems":[{"id":"ITEM-1","itemData":{"DOI":"10.1016/S0140-6736(13)61649-9","ISSN":"1474-547X (Electronic)","PMID":"24225001","abstract":"More than 1·2 million patients are diagnosed with colorectal cancer every year,  and more than 600,000 die from the disease. Incidence strongly varies globally and is closely linked to elements of a so-called western lifestyle. Incidence is higher in men than women and strongly increases with age; median age at diagnosis is about 70 years in developed countries. Despite strong hereditary components, most cases of colorectal cancer are sporadic and develop slowly over several years through the adenoma-carcinoma sequence. The cornerstones of therapy are surgery, neoadjuvant radiotherapy (for patients with rectal cancer), and adjuvant chemotherapy (for patients with stage III/IV and high-risk stage II colon cancer). 5-year relative survival ranges from greater than 90% in patients with stage I disease to slightly greater than 10% in patients with stage IV disease. Screening has been shown to reduce colorectal cancer incidence and mortality, but organised screening programmes are still to be implemented in most countries.","author":[{"dropping-particle":"","family":"Brenner","given":"Hermann","non-dropping-particle":"","parse-names":false,"suffix":""},{"dropping-particle":"","family":"Kloor","given":"Matthias","non-dropping-particle":"","parse-names":false,"suffix":""},{"dropping-particle":"","family":"Pox","given":"Christian Peter","non-dropping-particle":"","parse-names":false,"suffix":""}],"container-title":"Lancet (London, England)","id":"ITEM-1","issue":"9927","issued":{"date-parts":[["2014","4"]]},"language":"eng","page":"1490-1502","publisher-place":"England","title":"Colorectal cancer.","type":"article-journal","volume":"383"},"uris":["http://www.mendeley.com/documents/?uuid=86dd57ed-edb5-4b07-ad73-3f5e57b360bf"]}],"mendeley":{"formattedCitation":"[19]","plainTextFormattedCitation":"[19]","previouslyFormattedCitation":"[19]"},"properties":{"noteIndex":0},"schema":"https://github.com/citation-style-language/schema/raw/master/csl-citation.json"}</w:instrText>
      </w:r>
      <w:r w:rsidRPr="00FF757B">
        <w:fldChar w:fldCharType="separate"/>
      </w:r>
      <w:r w:rsidRPr="00FF757B">
        <w:t>[19]</w:t>
      </w:r>
      <w:r w:rsidRPr="00FF757B">
        <w:rPr>
          <w:lang w:val="id-ID"/>
        </w:rPr>
        <w:fldChar w:fldCharType="end"/>
      </w:r>
      <w:r w:rsidRPr="00FF757B">
        <w:t>. This discrepancy may reflect differences in disease stage or diagnostic timing in the current cohort. For example, early-stage lesions might present with focal symptoms like bleeding rather than systemic manifestations.</w:t>
      </w:r>
      <w:r w:rsidR="00C1728B">
        <w:t xml:space="preserve"> </w:t>
      </w:r>
    </w:p>
    <w:p w14:paraId="603DDA42" w14:textId="77777777" w:rsidR="00C1728B" w:rsidRPr="00C1728B" w:rsidRDefault="00C1728B" w:rsidP="00C1728B">
      <w:pPr>
        <w:jc w:val="both"/>
        <w:rPr>
          <w:sz w:val="12"/>
          <w:szCs w:val="12"/>
        </w:rPr>
      </w:pPr>
    </w:p>
    <w:p w14:paraId="5BBCAD59" w14:textId="1506BAFA" w:rsidR="00FF757B" w:rsidRPr="00FF757B" w:rsidRDefault="00FF757B" w:rsidP="00C1728B">
      <w:pPr>
        <w:jc w:val="both"/>
      </w:pPr>
      <w:r w:rsidRPr="00FF757B">
        <w:t>The 15% prevalence of diabetes mellitus in the cohort warrants attention, as hyperglycemia and insulin resistance have been implicated in altering gut microbiota and promoting mucosal inflammation</w:t>
      </w:r>
      <w:r w:rsidRPr="00FF757B">
        <w:fldChar w:fldCharType="begin" w:fldLock="1"/>
      </w:r>
      <w:r w:rsidRPr="00FF757B">
        <w:instrText>ADDIN CSL_CITATION {"citationItems":[{"id":"ITEM-1","itemData":{"DOI":"10.1093/infdis/jis106","ISSN":"1537-6613 (Electronic)","PMID":"22427676","abstract":"BACKGROUND: Few studies have evaluated the potential influence of Helicobacter  pylori on biomarkers for diabetes. METHODS: We conducted cross-sectional analyses using data from 7417 participants in the National Health and Nutrition Examination Survey (NHANES) III (aged ≥18 years) and 6072 participants in NHANES 1999-2000 (aged ≥3 years) to assess the association between H. pylori and levels of glycosylated hemoglobin (HbA1c). RESULTS: There was no association between H. pylori and history of self-reported diabetes. Helicobacter pylori seropositivity, especially H. pylori cagA positivity, was positively associated (P &lt; .01, NHANES III; P = .02, NHANES 1999-2000) with HbA1c levels after excluding individuals with history of diabetes and controlling for potential confounders. There was also a synergistic interaction between H. pylori and higher body mass index (BMI), such that increased levels of HbA1c associated with having both H. pylori and higher BMI were greater than the sum of their individual effects (P for interaction &lt; .01). This interaction was observed consistently in both NHANES III and NHANES 1999-2000 and for H. pylori cagA positivity in NHANES III. CONCLUSIONS: The findings indicate a role of H. pylori in impaired glucose tolerance in adults that may be potentiated by higher BMI level.","author":[{"dropping-particle":"","family":"Chen","given":"Yu","non-dropping-particle":"","parse-names":false,"suffix":""},{"dropping-particle":"","family":"Blaser","given":"Martin J","non-dropping-particle":"","parse-names":false,"suffix":""}],"container-title":"The Journal of infectious diseases","id":"ITEM-1","issue":"8","issued":{"date-parts":[["2012","4"]]},"language":"eng","page":"1195-1202","publisher-place":"United States","title":"Association between gastric Helicobacter pylori colonization and glycated  hemoglobin levels.","type":"article-journal","volume":"205"},"uris":["http://www.mendeley.com/documents/?uuid=b5eb6171-0a57-49d5-886d-c34a5c5518b2"]}],"mendeley":{"formattedCitation":"[20]","plainTextFormattedCitation":"[20]","previouslyFormattedCitation":"[20]"},"properties":{"noteIndex":0},"schema":"https://github.com/citation-style-language/schema/raw/master/csl-citation.json"}</w:instrText>
      </w:r>
      <w:r w:rsidRPr="00FF757B">
        <w:fldChar w:fldCharType="separate"/>
      </w:r>
      <w:r w:rsidRPr="00FF757B">
        <w:t>[20]</w:t>
      </w:r>
      <w:r w:rsidRPr="00FF757B">
        <w:rPr>
          <w:lang w:val="id-ID"/>
        </w:rPr>
        <w:fldChar w:fldCharType="end"/>
      </w:r>
      <w:r w:rsidRPr="00FF757B">
        <w:t xml:space="preserve">. Chen and </w:t>
      </w:r>
      <w:proofErr w:type="spellStart"/>
      <w:r w:rsidRPr="00FF757B">
        <w:t>Blaser</w:t>
      </w:r>
      <w:proofErr w:type="spellEnd"/>
      <w:r w:rsidRPr="00FF757B">
        <w:t xml:space="preserve"> (2012) found that </w:t>
      </w:r>
      <w:r w:rsidRPr="00FF757B">
        <w:rPr>
          <w:i/>
          <w:iCs/>
        </w:rPr>
        <w:t>Helicobacter pylori</w:t>
      </w:r>
      <w:r w:rsidRPr="00FF757B">
        <w:t xml:space="preserve"> colonization rates were higher in diabetic patients, potentially exacerbating gastrointestinal complications </w:t>
      </w:r>
      <w:r w:rsidRPr="00FF757B">
        <w:fldChar w:fldCharType="begin" w:fldLock="1"/>
      </w:r>
      <w:r w:rsidRPr="00FF757B">
        <w:instrText>ADDIN CSL_CITATION {"citationItems":[{"id":"ITEM-1","itemData":{"DOI":"10.1093/infdis/jis106","ISSN":"1537-6613 (Electronic)","PMID":"22427676","abstract":"BACKGROUND: Few studies have evaluated the potential influence of Helicobacter  pylori on biomarkers for diabetes. METHODS: We conducted cross-sectional analyses using data from 7417 participants in the National Health and Nutrition Examination Survey (NHANES) III (aged ≥18 years) and 6072 participants in NHANES 1999-2000 (aged ≥3 years) to assess the association between H. pylori and levels of glycosylated hemoglobin (HbA1c). RESULTS: There was no association between H. pylori and history of self-reported diabetes. Helicobacter pylori seropositivity, especially H. pylori cagA positivity, was positively associated (P &lt; .01, NHANES III; P = .02, NHANES 1999-2000) with HbA1c levels after excluding individuals with history of diabetes and controlling for potential confounders. There was also a synergistic interaction between H. pylori and higher body mass index (BMI), such that increased levels of HbA1c associated with having both H. pylori and higher BMI were greater than the sum of their individual effects (P for interaction &lt; .01). This interaction was observed consistently in both NHANES III and NHANES 1999-2000 and for H. pylori cagA positivity in NHANES III. CONCLUSIONS: The findings indicate a role of H. pylori in impaired glucose tolerance in adults that may be potentiated by higher BMI level.","author":[{"dropping-particle":"","family":"Chen","given":"Yu","non-dropping-particle":"","parse-names":false,"suffix":""},{"dropping-particle":"","family":"Blaser","given":"Martin J","non-dropping-particle":"","parse-names":false,"suffix":""}],"container-title":"The Journal of infectious diseases","id":"ITEM-1","issue":"8","issued":{"date-parts":[["2012","4"]]},"language":"eng","page":"1195-1202","publisher-place":"United States","title":"Association between gastric Helicobacter pylori colonization and glycated  hemoglobin levels.","type":"article-journal","volume":"205"},"uris":["http://www.mendeley.com/documents/?uuid=b5eb6171-0a57-49d5-886d-c34a5c5518b2"]}],"mendeley":{"formattedCitation":"[20]","plainTextFormattedCitation":"[20]","previouslyFormattedCitation":"[20]"},"properties":{"noteIndex":0},"schema":"https://github.com/citation-style-language/schema/raw/master/csl-citation.json"}</w:instrText>
      </w:r>
      <w:r w:rsidRPr="00FF757B">
        <w:fldChar w:fldCharType="separate"/>
      </w:r>
      <w:r w:rsidRPr="00FF757B">
        <w:t>[20]</w:t>
      </w:r>
      <w:r w:rsidRPr="00FF757B">
        <w:rPr>
          <w:lang w:val="id-ID"/>
        </w:rPr>
        <w:fldChar w:fldCharType="end"/>
      </w:r>
      <w:r w:rsidRPr="00FF757B">
        <w:t>. While the current study did not explore this interaction, the observed diabetes prevalence suggests a need for further investigation into metabolic comorbidities in gastrointestinal disease progression.</w:t>
      </w:r>
      <w:r w:rsidR="00C1728B">
        <w:t xml:space="preserve"> </w:t>
      </w:r>
    </w:p>
    <w:p w14:paraId="705308B8" w14:textId="77777777" w:rsidR="00FF757B" w:rsidRPr="00C1728B" w:rsidRDefault="00FF757B" w:rsidP="00C1728B">
      <w:pPr>
        <w:jc w:val="both"/>
        <w:rPr>
          <w:sz w:val="8"/>
          <w:szCs w:val="8"/>
        </w:rPr>
      </w:pPr>
    </w:p>
    <w:p w14:paraId="3C826F6F" w14:textId="2E108251" w:rsidR="00FF757B" w:rsidRDefault="00FF757B" w:rsidP="00FF757B">
      <w:pPr>
        <w:jc w:val="both"/>
        <w:rPr>
          <w:b/>
          <w:bCs/>
        </w:rPr>
      </w:pPr>
      <w:r>
        <w:rPr>
          <w:b/>
          <w:bCs/>
        </w:rPr>
        <w:t xml:space="preserve">3.2 </w:t>
      </w:r>
      <w:r w:rsidRPr="00FF757B">
        <w:rPr>
          <w:b/>
          <w:bCs/>
        </w:rPr>
        <w:t>Histopathological reports:</w:t>
      </w:r>
      <w:r w:rsidR="00C1728B">
        <w:rPr>
          <w:b/>
          <w:bCs/>
        </w:rPr>
        <w:t xml:space="preserve"> </w:t>
      </w:r>
    </w:p>
    <w:p w14:paraId="3E3FBBB2" w14:textId="77777777" w:rsidR="00C1728B" w:rsidRPr="00C1728B" w:rsidRDefault="00C1728B" w:rsidP="00FF757B">
      <w:pPr>
        <w:jc w:val="both"/>
        <w:rPr>
          <w:b/>
          <w:bCs/>
          <w:sz w:val="8"/>
          <w:szCs w:val="8"/>
        </w:rPr>
      </w:pPr>
    </w:p>
    <w:p w14:paraId="72F9C113" w14:textId="7872EDB1" w:rsidR="00FF757B" w:rsidRDefault="00FF757B" w:rsidP="00C1728B">
      <w:pPr>
        <w:jc w:val="both"/>
      </w:pPr>
      <w:r w:rsidRPr="00FF757B">
        <w:t>11 patients (27.5%) were adenocarcinoma which is the most often occurring histological type; inflammation followed with effect on 6 patients (15%). Five patients—12.5%—had both UC and adenomatous polyps noted. Four patients apiece had juvenile polyps and recta</w:t>
      </w:r>
      <w:r w:rsidR="00C1728B">
        <w:t xml:space="preserve">l ulcers, as shown in Figure 1. </w:t>
      </w:r>
    </w:p>
    <w:p w14:paraId="07202D35" w14:textId="4A5DA273" w:rsidR="00C1728B" w:rsidRPr="00FF757B" w:rsidRDefault="007D7B73" w:rsidP="00C1728B">
      <w:pPr>
        <w:jc w:val="both"/>
      </w:pPr>
      <w:r w:rsidRPr="00FF757B">
        <w:rPr>
          <w:noProof/>
        </w:rPr>
        <w:drawing>
          <wp:anchor distT="0" distB="0" distL="114300" distR="114300" simplePos="0" relativeHeight="251659264" behindDoc="0" locked="0" layoutInCell="1" allowOverlap="1" wp14:anchorId="656B2204" wp14:editId="052DF7CA">
            <wp:simplePos x="0" y="0"/>
            <wp:positionH relativeFrom="column">
              <wp:posOffset>1531620</wp:posOffset>
            </wp:positionH>
            <wp:positionV relativeFrom="paragraph">
              <wp:posOffset>147320</wp:posOffset>
            </wp:positionV>
            <wp:extent cx="2957830" cy="2957830"/>
            <wp:effectExtent l="0" t="0" r="13970" b="13970"/>
            <wp:wrapTopAndBottom/>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7270E83D" w14:textId="5C51D4CD" w:rsidR="00FF757B" w:rsidRPr="00FF757B" w:rsidRDefault="00FF757B" w:rsidP="00C1728B">
      <w:pPr>
        <w:ind w:firstLine="720"/>
        <w:jc w:val="center"/>
      </w:pPr>
    </w:p>
    <w:p w14:paraId="14194F19" w14:textId="77777777" w:rsidR="00C1728B" w:rsidRDefault="00C1728B" w:rsidP="00C1728B">
      <w:pPr>
        <w:jc w:val="both"/>
        <w:rPr>
          <w:b/>
          <w:bCs/>
        </w:rPr>
      </w:pPr>
    </w:p>
    <w:p w14:paraId="0A7A3161" w14:textId="266B9573" w:rsidR="00FF757B" w:rsidRDefault="00FF757B" w:rsidP="002A4790">
      <w:pPr>
        <w:jc w:val="both"/>
        <w:rPr>
          <w:b/>
          <w:bCs/>
        </w:rPr>
      </w:pPr>
      <w:r w:rsidRPr="00FF757B">
        <w:rPr>
          <w:b/>
          <w:bCs/>
        </w:rPr>
        <w:t>Figure (1):  shows the distribution of Histopathological types within the research.</w:t>
      </w:r>
      <w:r w:rsidR="00C1728B">
        <w:rPr>
          <w:b/>
          <w:bCs/>
        </w:rPr>
        <w:t xml:space="preserve"> </w:t>
      </w:r>
      <w:r w:rsidRPr="00FF757B">
        <w:rPr>
          <w:b/>
          <w:bCs/>
        </w:rPr>
        <w:t xml:space="preserve">Detection of </w:t>
      </w:r>
      <w:proofErr w:type="spellStart"/>
      <w:r w:rsidRPr="00FF757B">
        <w:rPr>
          <w:b/>
          <w:bCs/>
          <w:i/>
          <w:iCs/>
        </w:rPr>
        <w:t>H.pylori</w:t>
      </w:r>
      <w:proofErr w:type="spellEnd"/>
      <w:r w:rsidR="002A4790">
        <w:rPr>
          <w:b/>
          <w:bCs/>
        </w:rPr>
        <w:t xml:space="preserve"> in </w:t>
      </w:r>
      <w:r w:rsidRPr="00FF757B">
        <w:rPr>
          <w:b/>
          <w:bCs/>
        </w:rPr>
        <w:t>serum and biopsies:</w:t>
      </w:r>
      <w:r w:rsidR="00C1728B">
        <w:rPr>
          <w:b/>
          <w:bCs/>
        </w:rPr>
        <w:t xml:space="preserve"> </w:t>
      </w:r>
    </w:p>
    <w:p w14:paraId="2B0AAB0A" w14:textId="77777777" w:rsidR="00C1728B" w:rsidRPr="00872092" w:rsidRDefault="00C1728B" w:rsidP="00C1728B">
      <w:pPr>
        <w:jc w:val="both"/>
        <w:rPr>
          <w:b/>
          <w:bCs/>
          <w:sz w:val="14"/>
          <w:szCs w:val="14"/>
        </w:rPr>
      </w:pPr>
    </w:p>
    <w:p w14:paraId="0CC50C91" w14:textId="49711AC2" w:rsidR="00FF757B" w:rsidRDefault="00FF757B" w:rsidP="002A4790">
      <w:pPr>
        <w:jc w:val="both"/>
      </w:pPr>
      <w:r w:rsidRPr="00FF757B">
        <w:lastRenderedPageBreak/>
        <w:t xml:space="preserve">Serum testing indicated that 19 out of 40 patients (47.5%) tested positive for Helicobacter pylori, whereas 21 patients tested negative. Immunohistochemistry (IHC) revealed that 23 out of 40 patients (57.5%) tested positive for Helicobacter pylori, whereas 17 patients tested negative. Consequently, immunohistochemistry is regarded as the standard technique for identifying Helicobacter pylori, whereas serum testing demonstrated worse sensitivity and specificity (34.78% and 35.29%, respectively) compared to immunohistochemistry. This indicates that </w:t>
      </w:r>
      <w:proofErr w:type="spellStart"/>
      <w:r w:rsidRPr="00FF757B">
        <w:t>immunohistochemical</w:t>
      </w:r>
      <w:proofErr w:type="spellEnd"/>
      <w:r w:rsidRPr="00FF757B">
        <w:t xml:space="preserve"> examination of biopsy specimens may be a more dependable approach for identifying H. pylori in this patient </w:t>
      </w:r>
      <w:r w:rsidR="00697ABF" w:rsidRPr="00FF757B">
        <w:t>demo</w:t>
      </w:r>
      <w:r w:rsidR="00697ABF">
        <w:t>graphic,</w:t>
      </w:r>
      <w:r w:rsidR="002A4790">
        <w:t xml:space="preserve"> </w:t>
      </w:r>
      <w:r w:rsidR="00697ABF">
        <w:t>as</w:t>
      </w:r>
      <w:r w:rsidR="002A4790">
        <w:t xml:space="preserve"> shown in Table 2. </w:t>
      </w:r>
    </w:p>
    <w:p w14:paraId="08805F03" w14:textId="77777777" w:rsidR="002A4790" w:rsidRPr="002A4790" w:rsidRDefault="002A4790" w:rsidP="002A4790">
      <w:pPr>
        <w:jc w:val="both"/>
        <w:rPr>
          <w:sz w:val="12"/>
          <w:szCs w:val="12"/>
        </w:rPr>
      </w:pPr>
    </w:p>
    <w:p w14:paraId="7E7FBE3C" w14:textId="131C5FE4" w:rsidR="00FF757B" w:rsidRDefault="00FF757B" w:rsidP="00FF757B">
      <w:pPr>
        <w:ind w:firstLine="720"/>
        <w:jc w:val="both"/>
        <w:rPr>
          <w:b/>
        </w:rPr>
      </w:pPr>
      <w:r w:rsidRPr="00FF757B">
        <w:rPr>
          <w:b/>
        </w:rPr>
        <w:t>Table</w:t>
      </w:r>
      <w:r w:rsidR="00697ABF">
        <w:rPr>
          <w:b/>
        </w:rPr>
        <w:t xml:space="preserve"> </w:t>
      </w:r>
      <w:r w:rsidRPr="00FF757B">
        <w:rPr>
          <w:b/>
        </w:rPr>
        <w:t xml:space="preserve">(2): Table 1 illustrates a comparison between IHC and serum testing across 40 samples. </w:t>
      </w:r>
    </w:p>
    <w:p w14:paraId="4C99A704" w14:textId="77777777" w:rsidR="00697ABF" w:rsidRPr="00697ABF" w:rsidRDefault="00697ABF" w:rsidP="00FF757B">
      <w:pPr>
        <w:ind w:firstLine="720"/>
        <w:jc w:val="both"/>
        <w:rPr>
          <w:b/>
          <w:sz w:val="12"/>
          <w:szCs w:val="12"/>
        </w:rPr>
      </w:pPr>
    </w:p>
    <w:tbl>
      <w:tblPr>
        <w:tblStyle w:val="LightGrid-Accent5"/>
        <w:tblW w:w="4958" w:type="pct"/>
        <w:jc w:val="center"/>
        <w:tblLayout w:type="fixed"/>
        <w:tblLook w:val="04A0" w:firstRow="1" w:lastRow="0" w:firstColumn="1" w:lastColumn="0" w:noHBand="0" w:noVBand="1"/>
      </w:tblPr>
      <w:tblGrid>
        <w:gridCol w:w="1532"/>
        <w:gridCol w:w="2564"/>
        <w:gridCol w:w="2135"/>
        <w:gridCol w:w="2357"/>
        <w:gridCol w:w="908"/>
      </w:tblGrid>
      <w:tr w:rsidR="00FF757B" w:rsidRPr="00FF757B" w14:paraId="2B698131" w14:textId="77777777" w:rsidTr="00697AB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57" w:type="pct"/>
            <w:gridSpan w:val="2"/>
            <w:vMerge w:val="restart"/>
          </w:tcPr>
          <w:p w14:paraId="05B20068" w14:textId="77777777" w:rsidR="00FF757B" w:rsidRPr="00FF757B" w:rsidRDefault="00FF757B" w:rsidP="00FF757B">
            <w:pPr>
              <w:ind w:firstLine="720"/>
              <w:jc w:val="both"/>
            </w:pPr>
          </w:p>
        </w:tc>
        <w:tc>
          <w:tcPr>
            <w:tcW w:w="2365" w:type="pct"/>
            <w:gridSpan w:val="2"/>
          </w:tcPr>
          <w:p w14:paraId="18C64BF5" w14:textId="77777777" w:rsidR="00FF757B" w:rsidRPr="00FF757B" w:rsidRDefault="00FF757B" w:rsidP="00FF757B">
            <w:pPr>
              <w:ind w:firstLine="720"/>
              <w:jc w:val="both"/>
              <w:cnfStyle w:val="100000000000" w:firstRow="1" w:lastRow="0" w:firstColumn="0" w:lastColumn="0" w:oddVBand="0" w:evenVBand="0" w:oddHBand="0" w:evenHBand="0" w:firstRowFirstColumn="0" w:firstRowLastColumn="0" w:lastRowFirstColumn="0" w:lastRowLastColumn="0"/>
            </w:pPr>
            <w:r w:rsidRPr="00FF757B">
              <w:t>IHC</w:t>
            </w:r>
          </w:p>
        </w:tc>
        <w:tc>
          <w:tcPr>
            <w:tcW w:w="478" w:type="pct"/>
            <w:vMerge w:val="restart"/>
          </w:tcPr>
          <w:p w14:paraId="0A5CB5FF" w14:textId="77777777" w:rsidR="00FF757B" w:rsidRPr="00FF757B" w:rsidRDefault="00FF757B" w:rsidP="00FF757B">
            <w:pPr>
              <w:ind w:firstLine="720"/>
              <w:jc w:val="both"/>
              <w:cnfStyle w:val="100000000000" w:firstRow="1" w:lastRow="0" w:firstColumn="0" w:lastColumn="0" w:oddVBand="0" w:evenVBand="0" w:oddHBand="0" w:evenHBand="0" w:firstRowFirstColumn="0" w:firstRowLastColumn="0" w:lastRowFirstColumn="0" w:lastRowLastColumn="0"/>
            </w:pPr>
          </w:p>
          <w:p w14:paraId="21BEAFC3" w14:textId="77777777" w:rsidR="00FF757B" w:rsidRPr="00FF757B" w:rsidRDefault="00FF757B" w:rsidP="00FF757B">
            <w:pPr>
              <w:ind w:firstLine="720"/>
              <w:jc w:val="both"/>
              <w:cnfStyle w:val="100000000000" w:firstRow="1" w:lastRow="0" w:firstColumn="0" w:lastColumn="0" w:oddVBand="0" w:evenVBand="0" w:oddHBand="0" w:evenHBand="0" w:firstRowFirstColumn="0" w:firstRowLastColumn="0" w:lastRowFirstColumn="0" w:lastRowLastColumn="0"/>
            </w:pPr>
            <w:r w:rsidRPr="00FF757B">
              <w:t>Total</w:t>
            </w:r>
          </w:p>
        </w:tc>
      </w:tr>
      <w:tr w:rsidR="00FF757B" w:rsidRPr="00FF757B" w14:paraId="3390D7A8" w14:textId="77777777" w:rsidTr="00697AB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57" w:type="pct"/>
            <w:gridSpan w:val="2"/>
            <w:vMerge/>
          </w:tcPr>
          <w:p w14:paraId="098DF4DE" w14:textId="77777777" w:rsidR="00FF757B" w:rsidRPr="00FF757B" w:rsidRDefault="00FF757B" w:rsidP="00FF757B">
            <w:pPr>
              <w:ind w:firstLine="720"/>
              <w:jc w:val="both"/>
            </w:pPr>
          </w:p>
        </w:tc>
        <w:tc>
          <w:tcPr>
            <w:tcW w:w="1124" w:type="pct"/>
          </w:tcPr>
          <w:p w14:paraId="25F7A7BD" w14:textId="77777777" w:rsidR="00FF757B" w:rsidRPr="00FF757B" w:rsidRDefault="00FF757B" w:rsidP="00FF757B">
            <w:pPr>
              <w:ind w:firstLine="720"/>
              <w:jc w:val="both"/>
              <w:cnfStyle w:val="000000100000" w:firstRow="0" w:lastRow="0" w:firstColumn="0" w:lastColumn="0" w:oddVBand="0" w:evenVBand="0" w:oddHBand="1" w:evenHBand="0" w:firstRowFirstColumn="0" w:firstRowLastColumn="0" w:lastRowFirstColumn="0" w:lastRowLastColumn="0"/>
            </w:pPr>
            <w:r w:rsidRPr="00FF757B">
              <w:t>Positive</w:t>
            </w:r>
          </w:p>
        </w:tc>
        <w:tc>
          <w:tcPr>
            <w:tcW w:w="1241" w:type="pct"/>
          </w:tcPr>
          <w:p w14:paraId="28EAD541" w14:textId="77777777" w:rsidR="00FF757B" w:rsidRPr="00FF757B" w:rsidRDefault="00FF757B" w:rsidP="00FF757B">
            <w:pPr>
              <w:ind w:firstLine="720"/>
              <w:jc w:val="both"/>
              <w:cnfStyle w:val="000000100000" w:firstRow="0" w:lastRow="0" w:firstColumn="0" w:lastColumn="0" w:oddVBand="0" w:evenVBand="0" w:oddHBand="1" w:evenHBand="0" w:firstRowFirstColumn="0" w:firstRowLastColumn="0" w:lastRowFirstColumn="0" w:lastRowLastColumn="0"/>
            </w:pPr>
            <w:r w:rsidRPr="00FF757B">
              <w:t>Negative</w:t>
            </w:r>
          </w:p>
        </w:tc>
        <w:tc>
          <w:tcPr>
            <w:tcW w:w="478" w:type="pct"/>
            <w:vMerge/>
          </w:tcPr>
          <w:p w14:paraId="5403DF0D" w14:textId="77777777" w:rsidR="00FF757B" w:rsidRPr="00FF757B" w:rsidRDefault="00FF757B" w:rsidP="00FF757B">
            <w:pPr>
              <w:ind w:firstLine="720"/>
              <w:jc w:val="both"/>
              <w:cnfStyle w:val="000000100000" w:firstRow="0" w:lastRow="0" w:firstColumn="0" w:lastColumn="0" w:oddVBand="0" w:evenVBand="0" w:oddHBand="1" w:evenHBand="0" w:firstRowFirstColumn="0" w:firstRowLastColumn="0" w:lastRowFirstColumn="0" w:lastRowLastColumn="0"/>
              <w:rPr>
                <w:b/>
                <w:bCs/>
              </w:rPr>
            </w:pPr>
          </w:p>
        </w:tc>
      </w:tr>
      <w:tr w:rsidR="00FF757B" w:rsidRPr="00FF757B" w14:paraId="602D5DFD" w14:textId="77777777" w:rsidTr="00697AB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07" w:type="pct"/>
            <w:vMerge w:val="restart"/>
            <w:textDirection w:val="tbRl"/>
          </w:tcPr>
          <w:p w14:paraId="56AE0B04" w14:textId="77777777" w:rsidR="00FF757B" w:rsidRPr="00FF757B" w:rsidRDefault="00FF757B" w:rsidP="00FF757B">
            <w:pPr>
              <w:ind w:firstLine="720"/>
              <w:jc w:val="both"/>
            </w:pPr>
            <w:r w:rsidRPr="00FF757B">
              <w:t xml:space="preserve">Serum </w:t>
            </w:r>
          </w:p>
        </w:tc>
        <w:tc>
          <w:tcPr>
            <w:tcW w:w="1350" w:type="pct"/>
          </w:tcPr>
          <w:p w14:paraId="6DE98120" w14:textId="77777777" w:rsidR="00FF757B" w:rsidRPr="00FF757B" w:rsidRDefault="00FF757B" w:rsidP="00FF757B">
            <w:pPr>
              <w:ind w:firstLine="720"/>
              <w:jc w:val="both"/>
              <w:cnfStyle w:val="000000010000" w:firstRow="0" w:lastRow="0" w:firstColumn="0" w:lastColumn="0" w:oddVBand="0" w:evenVBand="0" w:oddHBand="0" w:evenHBand="1" w:firstRowFirstColumn="0" w:firstRowLastColumn="0" w:lastRowFirstColumn="0" w:lastRowLastColumn="0"/>
            </w:pPr>
            <w:r w:rsidRPr="00FF757B">
              <w:t>Positive</w:t>
            </w:r>
          </w:p>
        </w:tc>
        <w:tc>
          <w:tcPr>
            <w:tcW w:w="1124" w:type="pct"/>
          </w:tcPr>
          <w:p w14:paraId="320B9F50" w14:textId="77777777" w:rsidR="00FF757B" w:rsidRPr="00FF757B" w:rsidRDefault="00FF757B" w:rsidP="00FF757B">
            <w:pPr>
              <w:ind w:firstLine="720"/>
              <w:jc w:val="both"/>
              <w:cnfStyle w:val="000000010000" w:firstRow="0" w:lastRow="0" w:firstColumn="0" w:lastColumn="0" w:oddVBand="0" w:evenVBand="0" w:oddHBand="0" w:evenHBand="1" w:firstRowFirstColumn="0" w:firstRowLastColumn="0" w:lastRowFirstColumn="0" w:lastRowLastColumn="0"/>
            </w:pPr>
            <w:r w:rsidRPr="00FF757B">
              <w:t>8</w:t>
            </w:r>
          </w:p>
        </w:tc>
        <w:tc>
          <w:tcPr>
            <w:tcW w:w="1241" w:type="pct"/>
          </w:tcPr>
          <w:p w14:paraId="02EB8F1E" w14:textId="77777777" w:rsidR="00FF757B" w:rsidRPr="00FF757B" w:rsidRDefault="00FF757B" w:rsidP="00FF757B">
            <w:pPr>
              <w:ind w:firstLine="720"/>
              <w:jc w:val="both"/>
              <w:cnfStyle w:val="000000010000" w:firstRow="0" w:lastRow="0" w:firstColumn="0" w:lastColumn="0" w:oddVBand="0" w:evenVBand="0" w:oddHBand="0" w:evenHBand="1" w:firstRowFirstColumn="0" w:firstRowLastColumn="0" w:lastRowFirstColumn="0" w:lastRowLastColumn="0"/>
            </w:pPr>
            <w:r w:rsidRPr="00FF757B">
              <w:t>11</w:t>
            </w:r>
          </w:p>
        </w:tc>
        <w:tc>
          <w:tcPr>
            <w:tcW w:w="478" w:type="pct"/>
          </w:tcPr>
          <w:p w14:paraId="21DE1737" w14:textId="77777777" w:rsidR="00FF757B" w:rsidRPr="00FF757B" w:rsidRDefault="00FF757B" w:rsidP="00FF757B">
            <w:pPr>
              <w:ind w:firstLine="720"/>
              <w:jc w:val="both"/>
              <w:cnfStyle w:val="000000010000" w:firstRow="0" w:lastRow="0" w:firstColumn="0" w:lastColumn="0" w:oddVBand="0" w:evenVBand="0" w:oddHBand="0" w:evenHBand="1" w:firstRowFirstColumn="0" w:firstRowLastColumn="0" w:lastRowFirstColumn="0" w:lastRowLastColumn="0"/>
            </w:pPr>
            <w:r w:rsidRPr="00FF757B">
              <w:t>19</w:t>
            </w:r>
          </w:p>
        </w:tc>
      </w:tr>
      <w:tr w:rsidR="00FF757B" w:rsidRPr="00FF757B" w14:paraId="1507D9FC" w14:textId="77777777" w:rsidTr="00697AB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07" w:type="pct"/>
            <w:vMerge/>
          </w:tcPr>
          <w:p w14:paraId="477BAEEB" w14:textId="77777777" w:rsidR="00FF757B" w:rsidRPr="00FF757B" w:rsidRDefault="00FF757B" w:rsidP="00FF757B">
            <w:pPr>
              <w:ind w:firstLine="720"/>
              <w:jc w:val="both"/>
            </w:pPr>
          </w:p>
        </w:tc>
        <w:tc>
          <w:tcPr>
            <w:tcW w:w="1350" w:type="pct"/>
          </w:tcPr>
          <w:p w14:paraId="6EF23872" w14:textId="77777777" w:rsidR="00FF757B" w:rsidRPr="00FF757B" w:rsidRDefault="00FF757B" w:rsidP="00FF757B">
            <w:pPr>
              <w:ind w:firstLine="720"/>
              <w:jc w:val="both"/>
              <w:cnfStyle w:val="000000100000" w:firstRow="0" w:lastRow="0" w:firstColumn="0" w:lastColumn="0" w:oddVBand="0" w:evenVBand="0" w:oddHBand="1" w:evenHBand="0" w:firstRowFirstColumn="0" w:firstRowLastColumn="0" w:lastRowFirstColumn="0" w:lastRowLastColumn="0"/>
            </w:pPr>
            <w:r w:rsidRPr="00FF757B">
              <w:t>Negative</w:t>
            </w:r>
          </w:p>
        </w:tc>
        <w:tc>
          <w:tcPr>
            <w:tcW w:w="1124" w:type="pct"/>
          </w:tcPr>
          <w:p w14:paraId="5D6C6DC4" w14:textId="77777777" w:rsidR="00FF757B" w:rsidRPr="00FF757B" w:rsidRDefault="00FF757B" w:rsidP="00FF757B">
            <w:pPr>
              <w:ind w:firstLine="720"/>
              <w:jc w:val="both"/>
              <w:cnfStyle w:val="000000100000" w:firstRow="0" w:lastRow="0" w:firstColumn="0" w:lastColumn="0" w:oddVBand="0" w:evenVBand="0" w:oddHBand="1" w:evenHBand="0" w:firstRowFirstColumn="0" w:firstRowLastColumn="0" w:lastRowFirstColumn="0" w:lastRowLastColumn="0"/>
            </w:pPr>
            <w:r w:rsidRPr="00FF757B">
              <w:t>15</w:t>
            </w:r>
          </w:p>
        </w:tc>
        <w:tc>
          <w:tcPr>
            <w:tcW w:w="1241" w:type="pct"/>
          </w:tcPr>
          <w:p w14:paraId="23BBD7E3" w14:textId="77777777" w:rsidR="00FF757B" w:rsidRPr="00FF757B" w:rsidRDefault="00FF757B" w:rsidP="00FF757B">
            <w:pPr>
              <w:ind w:firstLine="720"/>
              <w:jc w:val="both"/>
              <w:cnfStyle w:val="000000100000" w:firstRow="0" w:lastRow="0" w:firstColumn="0" w:lastColumn="0" w:oddVBand="0" w:evenVBand="0" w:oddHBand="1" w:evenHBand="0" w:firstRowFirstColumn="0" w:firstRowLastColumn="0" w:lastRowFirstColumn="0" w:lastRowLastColumn="0"/>
            </w:pPr>
            <w:r w:rsidRPr="00FF757B">
              <w:t>6</w:t>
            </w:r>
          </w:p>
        </w:tc>
        <w:tc>
          <w:tcPr>
            <w:tcW w:w="478" w:type="pct"/>
          </w:tcPr>
          <w:p w14:paraId="7855F794" w14:textId="77777777" w:rsidR="00FF757B" w:rsidRPr="00FF757B" w:rsidRDefault="00FF757B" w:rsidP="00FF757B">
            <w:pPr>
              <w:ind w:firstLine="720"/>
              <w:jc w:val="both"/>
              <w:cnfStyle w:val="000000100000" w:firstRow="0" w:lastRow="0" w:firstColumn="0" w:lastColumn="0" w:oddVBand="0" w:evenVBand="0" w:oddHBand="1" w:evenHBand="0" w:firstRowFirstColumn="0" w:firstRowLastColumn="0" w:lastRowFirstColumn="0" w:lastRowLastColumn="0"/>
            </w:pPr>
            <w:r w:rsidRPr="00FF757B">
              <w:t>21</w:t>
            </w:r>
          </w:p>
        </w:tc>
      </w:tr>
      <w:tr w:rsidR="00FF757B" w:rsidRPr="00FF757B" w14:paraId="6FEA6C7A" w14:textId="77777777" w:rsidTr="00697AB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07" w:type="pct"/>
            <w:vMerge/>
          </w:tcPr>
          <w:p w14:paraId="69425DB4" w14:textId="77777777" w:rsidR="00FF757B" w:rsidRPr="00FF757B" w:rsidRDefault="00FF757B" w:rsidP="00FF757B">
            <w:pPr>
              <w:ind w:firstLine="720"/>
              <w:jc w:val="both"/>
            </w:pPr>
          </w:p>
        </w:tc>
        <w:tc>
          <w:tcPr>
            <w:tcW w:w="1350" w:type="pct"/>
          </w:tcPr>
          <w:p w14:paraId="3211B555" w14:textId="77777777" w:rsidR="00FF757B" w:rsidRPr="00FF757B" w:rsidRDefault="00FF757B" w:rsidP="00FF757B">
            <w:pPr>
              <w:ind w:firstLine="720"/>
              <w:jc w:val="both"/>
              <w:cnfStyle w:val="000000010000" w:firstRow="0" w:lastRow="0" w:firstColumn="0" w:lastColumn="0" w:oddVBand="0" w:evenVBand="0" w:oddHBand="0" w:evenHBand="1" w:firstRowFirstColumn="0" w:firstRowLastColumn="0" w:lastRowFirstColumn="0" w:lastRowLastColumn="0"/>
            </w:pPr>
            <w:r w:rsidRPr="00FF757B">
              <w:t>Total</w:t>
            </w:r>
          </w:p>
        </w:tc>
        <w:tc>
          <w:tcPr>
            <w:tcW w:w="1124" w:type="pct"/>
          </w:tcPr>
          <w:p w14:paraId="6C6649C7" w14:textId="77777777" w:rsidR="00FF757B" w:rsidRPr="00FF757B" w:rsidRDefault="00FF757B" w:rsidP="00FF757B">
            <w:pPr>
              <w:ind w:firstLine="720"/>
              <w:jc w:val="both"/>
              <w:cnfStyle w:val="000000010000" w:firstRow="0" w:lastRow="0" w:firstColumn="0" w:lastColumn="0" w:oddVBand="0" w:evenVBand="0" w:oddHBand="0" w:evenHBand="1" w:firstRowFirstColumn="0" w:firstRowLastColumn="0" w:lastRowFirstColumn="0" w:lastRowLastColumn="0"/>
            </w:pPr>
            <w:r w:rsidRPr="00FF757B">
              <w:t>23</w:t>
            </w:r>
          </w:p>
        </w:tc>
        <w:tc>
          <w:tcPr>
            <w:tcW w:w="1241" w:type="pct"/>
          </w:tcPr>
          <w:p w14:paraId="2B295792" w14:textId="77777777" w:rsidR="00FF757B" w:rsidRPr="00FF757B" w:rsidRDefault="00FF757B" w:rsidP="00FF757B">
            <w:pPr>
              <w:ind w:firstLine="720"/>
              <w:jc w:val="both"/>
              <w:cnfStyle w:val="000000010000" w:firstRow="0" w:lastRow="0" w:firstColumn="0" w:lastColumn="0" w:oddVBand="0" w:evenVBand="0" w:oddHBand="0" w:evenHBand="1" w:firstRowFirstColumn="0" w:firstRowLastColumn="0" w:lastRowFirstColumn="0" w:lastRowLastColumn="0"/>
            </w:pPr>
            <w:r w:rsidRPr="00FF757B">
              <w:t>17</w:t>
            </w:r>
          </w:p>
        </w:tc>
        <w:tc>
          <w:tcPr>
            <w:tcW w:w="478" w:type="pct"/>
          </w:tcPr>
          <w:p w14:paraId="6C1154AD" w14:textId="77777777" w:rsidR="00FF757B" w:rsidRPr="00FF757B" w:rsidRDefault="00FF757B" w:rsidP="00FF757B">
            <w:pPr>
              <w:ind w:firstLine="720"/>
              <w:jc w:val="both"/>
              <w:cnfStyle w:val="000000010000" w:firstRow="0" w:lastRow="0" w:firstColumn="0" w:lastColumn="0" w:oddVBand="0" w:evenVBand="0" w:oddHBand="0" w:evenHBand="1" w:firstRowFirstColumn="0" w:firstRowLastColumn="0" w:lastRowFirstColumn="0" w:lastRowLastColumn="0"/>
            </w:pPr>
            <w:r w:rsidRPr="00FF757B">
              <w:t>40</w:t>
            </w:r>
          </w:p>
        </w:tc>
      </w:tr>
    </w:tbl>
    <w:p w14:paraId="0F507949" w14:textId="77777777" w:rsidR="00FF757B" w:rsidRPr="00FF757B" w:rsidRDefault="00FF757B" w:rsidP="00FF757B">
      <w:pPr>
        <w:ind w:firstLine="720"/>
        <w:jc w:val="both"/>
        <w:rPr>
          <w:bCs/>
        </w:rPr>
      </w:pPr>
    </w:p>
    <w:p w14:paraId="1D49ADD4" w14:textId="77777777" w:rsidR="00FF757B" w:rsidRPr="00FF757B" w:rsidRDefault="00FF757B" w:rsidP="00697ABF">
      <w:pPr>
        <w:jc w:val="both"/>
        <w:rPr>
          <w:bCs/>
        </w:rPr>
      </w:pPr>
      <w:r w:rsidRPr="00FF757B">
        <w:rPr>
          <w:bCs/>
        </w:rPr>
        <w:t>Sensitivity = 8 / (8 + 15) × 100 = 34.78%</w:t>
      </w:r>
    </w:p>
    <w:p w14:paraId="2E9E5C5B" w14:textId="77777777" w:rsidR="00FF757B" w:rsidRPr="00FF757B" w:rsidRDefault="00FF757B" w:rsidP="00697ABF">
      <w:pPr>
        <w:jc w:val="both"/>
        <w:rPr>
          <w:bCs/>
        </w:rPr>
      </w:pPr>
      <w:r w:rsidRPr="00FF757B">
        <w:rPr>
          <w:bCs/>
        </w:rPr>
        <w:t>Specificity = 6 / (6 + 11) × 100 = 35.29%.</w:t>
      </w:r>
    </w:p>
    <w:p w14:paraId="42977862" w14:textId="77777777" w:rsidR="00697ABF" w:rsidRPr="00697ABF" w:rsidRDefault="00697ABF" w:rsidP="00697ABF">
      <w:pPr>
        <w:jc w:val="both"/>
        <w:rPr>
          <w:bCs/>
          <w:sz w:val="12"/>
          <w:szCs w:val="12"/>
        </w:rPr>
      </w:pPr>
    </w:p>
    <w:p w14:paraId="0C49EDB2" w14:textId="2D6FEF71" w:rsidR="00FF757B" w:rsidRDefault="00FF757B" w:rsidP="00697ABF">
      <w:pPr>
        <w:jc w:val="both"/>
        <w:rPr>
          <w:bCs/>
        </w:rPr>
      </w:pPr>
      <w:r w:rsidRPr="00FF757B">
        <w:rPr>
          <w:bCs/>
        </w:rPr>
        <w:t>Two distinct patterns of H. pylori detection were observed (Figure 2): a substantially higher serum positivity rate in adenocarcinoma patients (0.91%, p=0.015), suggesting a possible systemic association with this form of cancer by Figure 3, while H. pylori was commonly detected in adenocarcinoma tissue by IHC (81.82%) with no</w:t>
      </w:r>
      <w:r w:rsidRPr="00FF757B">
        <w:rPr>
          <w:bCs/>
        </w:rPr>
        <w:t> </w:t>
      </w:r>
      <w:r w:rsidRPr="00FF757B">
        <w:rPr>
          <w:bCs/>
        </w:rPr>
        <w:t xml:space="preserve">statistically significant difference compared to other histological types (p=0.363). The serum findings (Figure 2) suggest a systemic </w:t>
      </w:r>
      <w:r w:rsidRPr="00FF757B">
        <w:rPr>
          <w:bCs/>
        </w:rPr>
        <w:t> </w:t>
      </w:r>
      <w:r w:rsidRPr="00FF757B">
        <w:rPr>
          <w:bCs/>
        </w:rPr>
        <w:t>mechanism of infection contributing to the development of adenocarcinoma, whereas the IHC results (Figure 3) show indiscriminant organ colonization without demonstrated histologic specificity. Taken together, these data indicate that systemic H. pylori status may be</w:t>
      </w:r>
      <w:r w:rsidRPr="00FF757B">
        <w:rPr>
          <w:bCs/>
        </w:rPr>
        <w:t> </w:t>
      </w:r>
      <w:r w:rsidRPr="00FF757B">
        <w:rPr>
          <w:bCs/>
        </w:rPr>
        <w:t>more clinically relevant than tissue localization for assessment adenocarcinoma risk in patients.</w:t>
      </w:r>
      <w:r w:rsidR="00697ABF">
        <w:rPr>
          <w:bCs/>
        </w:rPr>
        <w:t xml:space="preserve"> </w:t>
      </w:r>
    </w:p>
    <w:p w14:paraId="3A419094" w14:textId="77777777" w:rsidR="00697ABF" w:rsidRDefault="00697ABF" w:rsidP="00697ABF">
      <w:pPr>
        <w:jc w:val="both"/>
        <w:rPr>
          <w:bCs/>
          <w:sz w:val="12"/>
          <w:szCs w:val="12"/>
        </w:rPr>
      </w:pPr>
    </w:p>
    <w:p w14:paraId="0B3088F4" w14:textId="538B4E0E" w:rsidR="00FF757B" w:rsidRDefault="00FF757B" w:rsidP="00697ABF">
      <w:pPr>
        <w:jc w:val="both"/>
        <w:rPr>
          <w:b/>
          <w:bCs/>
        </w:rPr>
      </w:pPr>
      <w:r w:rsidRPr="00FF757B">
        <w:rPr>
          <w:b/>
          <w:bCs/>
        </w:rPr>
        <w:t>Figure</w:t>
      </w:r>
      <w:r w:rsidR="00697ABF">
        <w:rPr>
          <w:b/>
          <w:bCs/>
        </w:rPr>
        <w:t xml:space="preserve"> </w:t>
      </w:r>
      <w:r w:rsidRPr="00FF757B">
        <w:rPr>
          <w:b/>
          <w:bCs/>
        </w:rPr>
        <w:t xml:space="preserve">(2): Detection of </w:t>
      </w:r>
      <w:r w:rsidRPr="00FF757B">
        <w:rPr>
          <w:b/>
          <w:bCs/>
          <w:i/>
          <w:iCs/>
        </w:rPr>
        <w:t>H. pylori</w:t>
      </w:r>
      <w:r w:rsidRPr="00FF757B">
        <w:rPr>
          <w:b/>
          <w:bCs/>
        </w:rPr>
        <w:t xml:space="preserve"> in serum</w:t>
      </w:r>
      <w:r w:rsidR="00697ABF">
        <w:rPr>
          <w:b/>
          <w:bCs/>
        </w:rPr>
        <w:t xml:space="preserve"> </w:t>
      </w:r>
    </w:p>
    <w:p w14:paraId="00543F08" w14:textId="1B30E025" w:rsidR="00697ABF" w:rsidRPr="00697ABF" w:rsidRDefault="00697ABF" w:rsidP="00697ABF">
      <w:pPr>
        <w:jc w:val="both"/>
        <w:rPr>
          <w:b/>
          <w:bCs/>
          <w:sz w:val="12"/>
          <w:szCs w:val="12"/>
        </w:rPr>
      </w:pPr>
      <w:r w:rsidRPr="00FF757B">
        <w:rPr>
          <w:noProof/>
        </w:rPr>
        <w:drawing>
          <wp:anchor distT="0" distB="0" distL="114300" distR="114300" simplePos="0" relativeHeight="251658240" behindDoc="0" locked="0" layoutInCell="1" allowOverlap="1" wp14:anchorId="3977E5AF" wp14:editId="4875E97D">
            <wp:simplePos x="0" y="0"/>
            <wp:positionH relativeFrom="column">
              <wp:posOffset>213360</wp:posOffset>
            </wp:positionH>
            <wp:positionV relativeFrom="paragraph">
              <wp:posOffset>177165</wp:posOffset>
            </wp:positionV>
            <wp:extent cx="5577840" cy="2910840"/>
            <wp:effectExtent l="0" t="0" r="22860" b="22860"/>
            <wp:wrapTopAndBottom/>
            <wp:docPr id="8" name="مخطط 8">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9E781ED0-8088-9DD6-0DB7-F51FD4DC4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6002B076" w14:textId="2FA9ABCF" w:rsidR="00FF757B" w:rsidRPr="00FF757B" w:rsidRDefault="00FF757B" w:rsidP="00697ABF">
      <w:pPr>
        <w:ind w:firstLine="720"/>
        <w:jc w:val="center"/>
      </w:pPr>
    </w:p>
    <w:p w14:paraId="1052A578" w14:textId="77777777" w:rsidR="00697ABF" w:rsidRDefault="00697ABF" w:rsidP="00697ABF">
      <w:pPr>
        <w:jc w:val="both"/>
        <w:rPr>
          <w:b/>
        </w:rPr>
      </w:pPr>
    </w:p>
    <w:p w14:paraId="4DA2998D" w14:textId="77777777" w:rsidR="00697ABF" w:rsidRDefault="00697ABF" w:rsidP="00697ABF">
      <w:pPr>
        <w:jc w:val="both"/>
        <w:rPr>
          <w:b/>
        </w:rPr>
      </w:pPr>
    </w:p>
    <w:p w14:paraId="71E98F76" w14:textId="77777777" w:rsidR="00697ABF" w:rsidRDefault="00697ABF" w:rsidP="00697ABF">
      <w:pPr>
        <w:jc w:val="both"/>
        <w:rPr>
          <w:b/>
        </w:rPr>
      </w:pPr>
    </w:p>
    <w:p w14:paraId="28318885" w14:textId="77777777" w:rsidR="00697ABF" w:rsidRDefault="00697ABF" w:rsidP="00697ABF">
      <w:pPr>
        <w:jc w:val="both"/>
        <w:rPr>
          <w:b/>
        </w:rPr>
      </w:pPr>
    </w:p>
    <w:p w14:paraId="36EA5971" w14:textId="77777777" w:rsidR="00806862" w:rsidRDefault="00806862" w:rsidP="00697ABF">
      <w:pPr>
        <w:jc w:val="both"/>
        <w:rPr>
          <w:b/>
        </w:rPr>
      </w:pPr>
    </w:p>
    <w:p w14:paraId="5776186B" w14:textId="77777777" w:rsidR="00806862" w:rsidRDefault="00806862" w:rsidP="00697ABF">
      <w:pPr>
        <w:jc w:val="both"/>
        <w:rPr>
          <w:b/>
        </w:rPr>
      </w:pPr>
    </w:p>
    <w:p w14:paraId="62388511" w14:textId="505BF884" w:rsidR="00FF757B" w:rsidRDefault="00FF757B" w:rsidP="00697ABF">
      <w:pPr>
        <w:jc w:val="both"/>
        <w:rPr>
          <w:b/>
        </w:rPr>
      </w:pPr>
      <w:r w:rsidRPr="00FF757B">
        <w:rPr>
          <w:b/>
        </w:rPr>
        <w:t xml:space="preserve">Figure (3): Detection of </w:t>
      </w:r>
      <w:r w:rsidRPr="00FF757B">
        <w:rPr>
          <w:b/>
          <w:i/>
          <w:iCs/>
        </w:rPr>
        <w:t>H. pylori</w:t>
      </w:r>
      <w:r w:rsidRPr="00FF757B">
        <w:rPr>
          <w:b/>
        </w:rPr>
        <w:t xml:space="preserve"> using IHC</w:t>
      </w:r>
      <w:r w:rsidR="00697ABF">
        <w:rPr>
          <w:b/>
        </w:rPr>
        <w:t xml:space="preserve"> </w:t>
      </w:r>
    </w:p>
    <w:p w14:paraId="3225FB42" w14:textId="77777777" w:rsidR="00697ABF" w:rsidRDefault="00697ABF" w:rsidP="00697ABF">
      <w:pPr>
        <w:jc w:val="both"/>
        <w:rPr>
          <w:b/>
        </w:rPr>
      </w:pPr>
    </w:p>
    <w:p w14:paraId="100FFCA5" w14:textId="3FACEC0A" w:rsidR="00697ABF" w:rsidRPr="00FF757B" w:rsidRDefault="00697ABF" w:rsidP="00697ABF">
      <w:pPr>
        <w:jc w:val="center"/>
        <w:rPr>
          <w:b/>
        </w:rPr>
      </w:pPr>
      <w:r w:rsidRPr="00FF757B">
        <w:rPr>
          <w:noProof/>
        </w:rPr>
        <w:drawing>
          <wp:inline distT="0" distB="0" distL="0" distR="0" wp14:anchorId="67E81A6A" wp14:editId="7FF90CC4">
            <wp:extent cx="5661660" cy="2857500"/>
            <wp:effectExtent l="0" t="0" r="15240" b="19050"/>
            <wp:docPr id="11" name="مخطط 11">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B610436E-5C03-44AE-A3B7-067E16999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D55D417" w14:textId="1AC2C4F5" w:rsidR="00FF757B" w:rsidRPr="00FF757B" w:rsidRDefault="00FF757B" w:rsidP="00697ABF">
      <w:pPr>
        <w:ind w:firstLine="720"/>
        <w:jc w:val="center"/>
      </w:pPr>
    </w:p>
    <w:p w14:paraId="78F3B097" w14:textId="77777777" w:rsidR="00FF757B" w:rsidRPr="00FF757B" w:rsidRDefault="00FF757B" w:rsidP="00FF757B">
      <w:pPr>
        <w:ind w:firstLine="720"/>
        <w:jc w:val="both"/>
      </w:pPr>
    </w:p>
    <w:p w14:paraId="37CA7D5A" w14:textId="77777777" w:rsidR="00FF757B" w:rsidRPr="00FF757B" w:rsidRDefault="00FF757B" w:rsidP="00FF757B">
      <w:pPr>
        <w:ind w:firstLine="720"/>
        <w:jc w:val="both"/>
      </w:pPr>
      <w:r w:rsidRPr="00FF757B">
        <w:rPr>
          <w:bCs/>
          <w:noProof/>
        </w:rPr>
        <w:drawing>
          <wp:inline distT="0" distB="0" distL="0" distR="0" wp14:anchorId="4FEF8803" wp14:editId="3341B98A">
            <wp:extent cx="2591027" cy="1943100"/>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2f1bf3-7392-46c4-b7f4-df920dbe419f.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0123" cy="1942422"/>
                    </a:xfrm>
                    <a:prstGeom prst="rect">
                      <a:avLst/>
                    </a:prstGeom>
                  </pic:spPr>
                </pic:pic>
              </a:graphicData>
            </a:graphic>
          </wp:inline>
        </w:drawing>
      </w:r>
      <w:r w:rsidRPr="00FF757B">
        <w:t xml:space="preserve"> </w:t>
      </w:r>
      <w:r w:rsidRPr="00FF757B">
        <w:rPr>
          <w:noProof/>
        </w:rPr>
        <w:drawing>
          <wp:inline distT="0" distB="0" distL="0" distR="0" wp14:anchorId="7B77A837" wp14:editId="387D31F4">
            <wp:extent cx="2590800" cy="194310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90800" cy="1943100"/>
                    </a:xfrm>
                    <a:prstGeom prst="rect">
                      <a:avLst/>
                    </a:prstGeom>
                  </pic:spPr>
                </pic:pic>
              </a:graphicData>
            </a:graphic>
          </wp:inline>
        </w:drawing>
      </w:r>
    </w:p>
    <w:p w14:paraId="0F1880EF" w14:textId="77777777" w:rsidR="00697ABF" w:rsidRDefault="00697ABF" w:rsidP="00697ABF">
      <w:pPr>
        <w:jc w:val="both"/>
        <w:rPr>
          <w:b/>
        </w:rPr>
      </w:pPr>
    </w:p>
    <w:p w14:paraId="6E37C022" w14:textId="47E2A219" w:rsidR="00FF757B" w:rsidRDefault="00FF757B" w:rsidP="00697ABF">
      <w:pPr>
        <w:jc w:val="both"/>
        <w:rPr>
          <w:b/>
        </w:rPr>
      </w:pPr>
      <w:r w:rsidRPr="00FF757B">
        <w:rPr>
          <w:b/>
        </w:rPr>
        <w:t>Figure</w:t>
      </w:r>
      <w:r w:rsidR="00C9686C">
        <w:rPr>
          <w:b/>
        </w:rPr>
        <w:t xml:space="preserve"> </w:t>
      </w:r>
      <w:r w:rsidRPr="00FF757B">
        <w:rPr>
          <w:b/>
        </w:rPr>
        <w:t xml:space="preserve">(4): Detection of </w:t>
      </w:r>
      <w:proofErr w:type="spellStart"/>
      <w:r w:rsidRPr="00FF757B">
        <w:rPr>
          <w:b/>
        </w:rPr>
        <w:t>H.pylori</w:t>
      </w:r>
      <w:proofErr w:type="spellEnd"/>
      <w:r w:rsidRPr="00FF757B">
        <w:rPr>
          <w:b/>
        </w:rPr>
        <w:t xml:space="preserve"> under microscope by IHC techniques.</w:t>
      </w:r>
    </w:p>
    <w:p w14:paraId="5C716369" w14:textId="77777777" w:rsidR="00C9686C" w:rsidRPr="008D5EA6" w:rsidRDefault="00C9686C" w:rsidP="00C9686C">
      <w:pPr>
        <w:jc w:val="both"/>
        <w:rPr>
          <w:sz w:val="12"/>
          <w:szCs w:val="12"/>
        </w:rPr>
      </w:pPr>
    </w:p>
    <w:p w14:paraId="6BD2BB68" w14:textId="3D4E8107" w:rsidR="00FF757B" w:rsidRDefault="00FF757B" w:rsidP="00C9686C">
      <w:pPr>
        <w:jc w:val="both"/>
      </w:pPr>
      <w:r w:rsidRPr="00FF757B">
        <w:t xml:space="preserve">The histopathological findings revealed adenocarcinoma as the most prevalent histological type (27.5%), consistent with global epidemiological trends where colorectal adenocarcinoma dominates gastrointestinal malignancies </w:t>
      </w:r>
      <w:r w:rsidRPr="00FF757B">
        <w:fldChar w:fldCharType="begin" w:fldLock="1"/>
      </w:r>
      <w:r w:rsidRPr="00FF757B">
        <w:instrText>ADDIN CSL_CITATION {"citationItems":[{"id":"ITEM-1","itemData":{"DOI":"10.1016/S0140-6736(13)61649-9","ISSN":"1474-547X (Electronic)","PMID":"24225001","abstract":"More than 1·2 million patients are diagnosed with colorectal cancer every year,  and more than 600,000 die from the disease. Incidence strongly varies globally and is closely linked to elements of a so-called western lifestyle. Incidence is higher in men than women and strongly increases with age; median age at diagnosis is about 70 years in developed countries. Despite strong hereditary components, most cases of colorectal cancer are sporadic and develop slowly over several years through the adenoma-carcinoma sequence. The cornerstones of therapy are surgery, neoadjuvant radiotherapy (for patients with rectal cancer), and adjuvant chemotherapy (for patients with stage III/IV and high-risk stage II colon cancer). 5-year relative survival ranges from greater than 90% in patients with stage I disease to slightly greater than 10% in patients with stage IV disease. Screening has been shown to reduce colorectal cancer incidence and mortality, but organised screening programmes are still to be implemented in most countries.","author":[{"dropping-particle":"","family":"Brenner","given":"Hermann","non-dropping-particle":"","parse-names":false,"suffix":""},{"dropping-particle":"","family":"Kloor","given":"Matthias","non-dropping-particle":"","parse-names":false,"suffix":""},{"dropping-particle":"","family":"Pox","given":"Christian Peter","non-dropping-particle":"","parse-names":false,"suffix":""}],"container-title":"Lancet (London, England)","id":"ITEM-1","issue":"9927","issued":{"date-parts":[["2014","4"]]},"language":"eng","page":"1490-1502","publisher-place":"England","title":"Colorectal cancer.","type":"article-journal","volume":"383"},"uris":["http://www.mendeley.com/documents/?uuid=86dd57ed-edb5-4b07-ad73-3f5e57b360bf"]}],"mendeley":{"formattedCitation":"[19]","plainTextFormattedCitation":"[19]","previouslyFormattedCitation":"[19]"},"properties":{"noteIndex":0},"schema":"https://github.com/citation-style-language/schema/raw/master/csl-citation.json"}</w:instrText>
      </w:r>
      <w:r w:rsidRPr="00FF757B">
        <w:fldChar w:fldCharType="separate"/>
      </w:r>
      <w:r w:rsidRPr="00FF757B">
        <w:t>[19]</w:t>
      </w:r>
      <w:r w:rsidRPr="00FF757B">
        <w:rPr>
          <w:lang w:val="id-ID"/>
        </w:rPr>
        <w:fldChar w:fldCharType="end"/>
      </w:r>
      <w:r w:rsidRPr="00FF757B">
        <w:t xml:space="preserve">. This aligns with Brenner et al. (2014), who reported adenocarcinoma as the primary histological subtype in 60–70% of colorectal cancers, though the lower prevalence in this cohort may reflect regional variations or early-stage disease </w:t>
      </w:r>
      <w:r w:rsidRPr="00FF757B">
        <w:fldChar w:fldCharType="begin" w:fldLock="1"/>
      </w:r>
      <w:r w:rsidRPr="00FF757B">
        <w:instrText>ADDIN CSL_CITATION {"citationItems":[{"id":"ITEM-1","itemData":{"DOI":"10.1016/S0140-6736(13)61649-9","ISSN":"1474-547X (Electronic)","PMID":"24225001","abstract":"More than 1·2 million patients are diagnosed with colorectal cancer every year,  and more than 600,000 die from the disease. Incidence strongly varies globally and is closely linked to elements of a so-called western lifestyle. Incidence is higher in men than women and strongly increases with age; median age at diagnosis is about 70 years in developed countries. Despite strong hereditary components, most cases of colorectal cancer are sporadic and develop slowly over several years through the adenoma-carcinoma sequence. The cornerstones of therapy are surgery, neoadjuvant radiotherapy (for patients with rectal cancer), and adjuvant chemotherapy (for patients with stage III/IV and high-risk stage II colon cancer). 5-year relative survival ranges from greater than 90% in patients with stage I disease to slightly greater than 10% in patients with stage IV disease. Screening has been shown to reduce colorectal cancer incidence and mortality, but organised screening programmes are still to be implemented in most countries.","author":[{"dropping-particle":"","family":"Brenner","given":"Hermann","non-dropping-particle":"","parse-names":false,"suffix":""},{"dropping-particle":"","family":"Kloor","given":"Matthias","non-dropping-particle":"","parse-names":false,"suffix":""},{"dropping-particle":"","family":"Pox","given":"Christian Peter","non-dropping-particle":"","parse-names":false,"suffix":""}],"container-title":"Lancet (London, England)","id":"ITEM-1","issue":"9927","issued":{"date-parts":[["2014","4"]]},"language":"eng","page":"1490-1502","publisher-place":"England","title":"Colorectal cancer.","type":"article-journal","volume":"383"},"uris":["http://www.mendeley.com/documents/?uuid=86dd57ed-edb5-4b07-ad73-3f5e57b360bf"]}],"mendeley":{"formattedCitation":"[19]","plainTextFormattedCitation":"[19]","previouslyFormattedCitation":"[19]"},"properties":{"noteIndex":0},"schema":"https://github.com/citation-style-language/schema/raw/master/csl-citation.json"}</w:instrText>
      </w:r>
      <w:r w:rsidRPr="00FF757B">
        <w:fldChar w:fldCharType="separate"/>
      </w:r>
      <w:r w:rsidRPr="00FF757B">
        <w:t>[19]</w:t>
      </w:r>
      <w:r w:rsidRPr="00FF757B">
        <w:rPr>
          <w:lang w:val="id-ID"/>
        </w:rPr>
        <w:fldChar w:fldCharType="end"/>
      </w:r>
      <w:r w:rsidRPr="00FF757B">
        <w:t xml:space="preserve">. The coexistence of ulcerative colitis (UC) and adenomatous polyps in 12.5% of cases supports the established "inflammation-dysplasia-carcinoma" sequence, as described by </w:t>
      </w:r>
      <w:proofErr w:type="spellStart"/>
      <w:r w:rsidRPr="00FF757B">
        <w:t>Itzkowitz</w:t>
      </w:r>
      <w:proofErr w:type="spellEnd"/>
      <w:r w:rsidRPr="00FF757B">
        <w:t xml:space="preserve"> and </w:t>
      </w:r>
      <w:proofErr w:type="spellStart"/>
      <w:r w:rsidRPr="00FF757B">
        <w:t>Yio</w:t>
      </w:r>
      <w:proofErr w:type="spellEnd"/>
      <w:r w:rsidRPr="00FF757B">
        <w:t xml:space="preserve"> (2004), wherein chronic inflammation accelerates polyp malignant transformation</w:t>
      </w:r>
      <w:r w:rsidR="00441FC8">
        <w:t xml:space="preserve"> </w:t>
      </w:r>
      <w:r w:rsidRPr="00FF757B">
        <w:fldChar w:fldCharType="begin" w:fldLock="1"/>
      </w:r>
      <w:r w:rsidRPr="00FF757B">
        <w:instrText>ADDIN CSL_CITATION {"citationItems":[{"id":"ITEM-1","itemData":{"DOI":"10.1152/ajpgi.00079.2004","ISSN":"0193-1857 (Print)","PMID":"15194558","abstract":"Patients with ulcerative colitis and Crohn's disease are at increased risk for  developing colorectal cancer. To date, no known genetic basis has been identified to explain colorectal cancer predisposition in these inflammatory bowel diseases. Instead, it is assumed that chronic inflammation is what causes cancer. This is supported by the fact that colon cancer risk increases with longer duration of colitis, greater anatomic extent of colitis, the concomitant presence of other inflammatory manifestations such as primary sclerosing cholangitis, and the fact that certain drugs used to treat inflammation, such as 5-aminosalicylates and steroids, may prevent the development of colorectal cancer. The major carcinogenic pathways that lead to sporadic colorectal cancer, namely chromosomal instability, microsatellite instability, and hypermethylation, also occur in colitis-associated colorectal cancers. Unlike normal colonic mucosa, however, inflamed colonic mucosa demonstrates abnormalities in these molecular pathways even before any histological evidence of dysplasia or cancer. Whereas the reasons for this are unknown, oxidative stress likely plays a role. Reactive oxygen and nitrogen species produced by inflammatory cells can interact with key genes involved in carcinogenic pathways such as p53, DNA mismatch repair genes, and even DNA base excision-repair genes. Other factors such as NF-kappaB and cyclooxygenases may also contribute. Administering agents that cause colitis in healthy rodents or genetically engineered cancer-prone mice accelerates the development of colorectal cancer. Mice genetically prone to inflammatory bowel disease also develop colorectal cancer especially in the presence of bacterial colonization. These observations offer compelling support for the role of inflammation in colon carcinogenesis.","author":[{"dropping-particle":"","family":"Itzkowitz","given":"Steven H","non-dropping-particle":"","parse-names":false,"suffix":""},{"dropping-particle":"","family":"Yio","given":"Xianyang","non-dropping-particle":"","parse-names":false,"suffix":""}],"container-title":"American journal of physiology. Gastrointestinal and liver physiology","id":"ITEM-1","issue":"1","issued":{"date-parts":[["2004","7"]]},"language":"eng","page":"G7-17","publisher-place":"United States","title":"Inflammation and cancer IV. Colorectal cancer in inflammatory bowel disease: the  role of inflammation.","type":"article-journal","volume":"287"},"uris":["http://www.mendeley.com/documents/?uuid=5e7d06b7-3409-4021-a29b-c52168ec684b"]}],"mendeley":{"formattedCitation":"[21]","plainTextFormattedCitation":"[21]","previouslyFormattedCitation":"[21]"},"properties":{"noteIndex":0},"schema":"https://github.com/citation-style-language/schema/raw/master/csl-citation.json"}</w:instrText>
      </w:r>
      <w:r w:rsidRPr="00FF757B">
        <w:fldChar w:fldCharType="separate"/>
      </w:r>
      <w:r w:rsidRPr="00FF757B">
        <w:t>[</w:t>
      </w:r>
      <w:r w:rsidR="00441FC8">
        <w:t xml:space="preserve">20, </w:t>
      </w:r>
      <w:r w:rsidRPr="00FF757B">
        <w:t>21]</w:t>
      </w:r>
      <w:r w:rsidRPr="00FF757B">
        <w:rPr>
          <w:lang w:val="id-ID"/>
        </w:rPr>
        <w:fldChar w:fldCharType="end"/>
      </w:r>
      <w:r w:rsidRPr="00FF757B">
        <w:t xml:space="preserve">. Juvenile polyps, observed in 10% of patients, are less commonly associated with malignancy, but their presence underscores the need for vigilant surveillance in younger populations, as highlighted by </w:t>
      </w:r>
      <w:proofErr w:type="spellStart"/>
      <w:r w:rsidRPr="00FF757B">
        <w:t>Jass</w:t>
      </w:r>
      <w:proofErr w:type="spellEnd"/>
      <w:r w:rsidRPr="00FF757B">
        <w:t xml:space="preserve"> et al. (2002)</w:t>
      </w:r>
      <w:r w:rsidR="00441FC8">
        <w:t xml:space="preserve"> </w:t>
      </w:r>
      <w:r w:rsidRPr="00FF757B">
        <w:fldChar w:fldCharType="begin" w:fldLock="1"/>
      </w:r>
      <w:r w:rsidRPr="00FF757B">
        <w:instrText>ADDIN CSL_CITATION {"citationItems":[{"id":"ITEM-1","itemData":{"DOI":"10.1053/gast.2002.35392","ISSN":"0016-5085 (Print)","PMID":"12198712","abstract":"An understanding of the mechanisms that explain the initiation and early  evolution of colorectal cancer should facilitate the development of new approaches to effective prevention and intervention. This review highlights deficiencies in the current model for colorectal neoplasia in which APC mutation is placed at the point of initiation. Other genes implicated in the regulation of apoptosis and DNA repair may underlie the early development of colorectal cancer. Inactivation of these genes may occur not by mutation or loss but through silencing mediated by methylation of the gene's promoter region. hMLH1 and MGMT are examples of DNA repair genes that are silenced by methylation. Loss of expression of hMLH1 and MGMT protein has been demonstrated immunohistochemically in serrated polyps. Multiple lines of evidence point to a \"serrated\" pathway of neoplasia that is driven by inhibition of apoptosis and the subsequent inactivation of DNA repair genes by promoter methylation. The earliest lesions in this pathway are aberrant crypt foci (ACF). These may develop into hyperplastic polyps or transform while still of microscopic size into admixed polyps, serrated adenomas, or traditional adenomas. Cancers developing from these lesions may show high- or low-level microsatellite instability (MSI-H and MSI-L, respectively) or may be microsatellite stable (MSS). The suggested clinical model for this alternative pathway is the condition hyperplastic polyposis. If colorectal cancer is a heterogeneous disease comprising discrete subsets that evolve through different pathways, it is evident that these subsets will need to be studied individually in the future.","author":[{"dropping-particle":"","family":"Jass","given":"Jeremy R","non-dropping-particle":"","parse-names":false,"suffix":""},{"dropping-particle":"","family":"Whitehall","given":"Vicki L J","non-dropping-particle":"","parse-names":false,"suffix":""},{"dropping-particle":"","family":"Young","given":"Joanne","non-dropping-particle":"","parse-names":false,"suffix":""},{"dropping-particle":"","family":"Leggett","given":"Barbara A","non-dropping-particle":"","parse-names":false,"suffix":""}],"container-title":"Gastroenterology","id":"ITEM-1","issue":"3","issued":{"date-parts":[["2002","9"]]},"language":"eng","page":"862-876","publisher-place":"United States","title":"Emerging concepts in colorectal neoplasia.","type":"article-journal","volume":"123"},"uris":["http://www.mendeley.com/documents/?uuid=017a8680-1dfc-419b-a3d5-6e37c364a43b"]}],"mendeley":{"formattedCitation":"[22]","plainTextFormattedCitation":"[22]","previouslyFormattedCitation":"[22]"},"properties":{"noteIndex":0},"schema":"https://github.com/citation-style-language/schema/raw/master/csl-citation.json"}</w:instrText>
      </w:r>
      <w:r w:rsidRPr="00FF757B">
        <w:fldChar w:fldCharType="separate"/>
      </w:r>
      <w:r w:rsidRPr="00FF757B">
        <w:t>[22]</w:t>
      </w:r>
      <w:r w:rsidRPr="00FF757B">
        <w:rPr>
          <w:lang w:val="id-ID"/>
        </w:rPr>
        <w:fldChar w:fldCharType="end"/>
      </w:r>
      <w:r w:rsidRPr="00FF757B">
        <w:t>.</w:t>
      </w:r>
      <w:r w:rsidR="008D5EA6">
        <w:t xml:space="preserve"> </w:t>
      </w:r>
    </w:p>
    <w:p w14:paraId="5F971354" w14:textId="77777777" w:rsidR="008D5EA6" w:rsidRPr="008D5EA6" w:rsidRDefault="008D5EA6" w:rsidP="00C9686C">
      <w:pPr>
        <w:jc w:val="both"/>
        <w:rPr>
          <w:sz w:val="12"/>
          <w:szCs w:val="12"/>
        </w:rPr>
      </w:pPr>
    </w:p>
    <w:p w14:paraId="282FFD99" w14:textId="77777777" w:rsidR="00441FC8" w:rsidRDefault="00FF757B" w:rsidP="00441FC8">
      <w:pPr>
        <w:jc w:val="both"/>
      </w:pPr>
      <w:r w:rsidRPr="00FF757B">
        <w:t>The detection of </w:t>
      </w:r>
      <w:r w:rsidRPr="00FF757B">
        <w:rPr>
          <w:i/>
          <w:iCs/>
        </w:rPr>
        <w:t>Helicobacter pylori</w:t>
      </w:r>
      <w:r w:rsidRPr="00FF757B">
        <w:t> (</w:t>
      </w:r>
      <w:r w:rsidRPr="00FF757B">
        <w:rPr>
          <w:i/>
          <w:iCs/>
        </w:rPr>
        <w:t>H. pylori</w:t>
      </w:r>
      <w:r w:rsidRPr="00FF757B">
        <w:t xml:space="preserve">) via immunohistochemistry (IHC, 57.5%) outperformed serological testing (47.5%), mirroring prior studies advocating tissue-based methods for accuracy. Graham and </w:t>
      </w:r>
      <w:proofErr w:type="spellStart"/>
      <w:r w:rsidRPr="00FF757B">
        <w:t>Miftahussurur</w:t>
      </w:r>
      <w:proofErr w:type="spellEnd"/>
      <w:r w:rsidRPr="00FF757B">
        <w:t xml:space="preserve"> (2018) emphasized that IHC’s direct visualization of bacteria in biopsy specimens reduces false negatives caused by </w:t>
      </w:r>
      <w:r w:rsidRPr="00FF757B">
        <w:lastRenderedPageBreak/>
        <w:t>patchy colonization or prior antibiotic use</w:t>
      </w:r>
      <w:r w:rsidR="00441FC8">
        <w:t xml:space="preserve"> </w:t>
      </w:r>
      <w:r w:rsidRPr="00FF757B">
        <w:fldChar w:fldCharType="begin" w:fldLock="1"/>
      </w:r>
      <w:r w:rsidRPr="00FF757B">
        <w:instrText>ADDIN CSL_CITATION {"citationItems":[{"id":"ITEM-1","itemData":{"DOI":"10.1016/j.jare.2018.01.006","ISSN":"2090-1232 (Print)","PMID":"30094082","abstract":"The stomach contents contain of both acid and proteolytic enzymes. How the  stomach digests food without damaging itself remained a topic of investigation for decades. One candidate was gastric urease, which neutralized acid by producing ammonia from urea diffusing from the blood and potentially could protect the stomach. Discovery that gastric urease was not mammalian resulted in a research hiatus until discovery that gastric urease was produce by Helicobacter pylori which caused gastritis, peptic ulcer and gastric cancer. Gastric urease allows the organism to colonize the acidic stomach and serves as a biomarker for the presence of H. pylori. Important clinical tests for H. pylori, the rapid urease test and urea breath test, are based on gastric urease. Rapid urease tests use gastric biopsies or mucus placed in a device containing urea and an indicator of pH change, typically phenol red. Urea breath tests measure the change in isotope enrichment of (13)C- or (14)CO(2) in breath following oral administration of labeled urea. The urea breath test is non-invasive, convenient and accurate and the most widely used test for non-invasive test for detection of active H. pylori infection and for confirmation of cure after eradication therapy.","author":[{"dropping-particle":"","family":"Graham","given":"David Y","non-dropping-particle":"","parse-names":false,"suffix":""},{"dropping-particle":"","family":"Miftahussurur","given":"Muhammad","non-dropping-particle":"","parse-names":false,"suffix":""}],"container-title":"Journal of advanced research","id":"ITEM-1","issued":{"date-parts":[["2018","9"]]},"language":"eng","page":"51-57","publisher-place":"Egypt","title":"Helicobacter pylori urease for diagnosis of Helicobacter pylori infection: A mini  review.","type":"article-journal","volume":"13"},"uris":["http://www.mendeley.com/documents/?uuid=17a5b44d-765c-41f5-a602-8cd6ae844b3d"]}],"mendeley":{"formattedCitation":"[23]","plainTextFormattedCitation":"[23]","previouslyFormattedCitation":"[23]"},"properties":{"noteIndex":0},"schema":"https://github.com/citation-style-language/schema/raw/master/csl-citation.json"}</w:instrText>
      </w:r>
      <w:r w:rsidRPr="00FF757B">
        <w:fldChar w:fldCharType="separate"/>
      </w:r>
      <w:r w:rsidRPr="00FF757B">
        <w:t>[23]</w:t>
      </w:r>
      <w:r w:rsidRPr="00FF757B">
        <w:rPr>
          <w:lang w:val="id-ID"/>
        </w:rPr>
        <w:fldChar w:fldCharType="end"/>
      </w:r>
      <w:r w:rsidRPr="00FF757B">
        <w:t>. Conversely, the low sensitivity (34.78%) and specificity (35.29%) of serum testing align with Kato et al. (2013), who attributed such limitations to cross-reactive antibodies or transient infections unrelated to active disease</w:t>
      </w:r>
      <w:r w:rsidR="00441FC8">
        <w:t xml:space="preserve"> </w:t>
      </w:r>
      <w:r w:rsidRPr="00FF757B">
        <w:fldChar w:fldCharType="begin" w:fldLock="1"/>
      </w:r>
      <w:r w:rsidRPr="00FF757B">
        <w:instrText>ADDIN CSL_CITATION {"citationItems":[{"id":"ITEM-1","itemData":{"DOI":"10.3748/wjg.v12.i26.4206","ISSN":"1007-9327 (Print)","PMID":"16830376","abstract":"AIM: To compare two different H pylori stool antigen tests as noninvasive  diagnostic methods. METHODS: The study population consisted of 22 upper gastrointestinal system bleeding patients. Urea breath test (UBT), rapid urease test (RUT) and histopathological examination were applied to all patients. Stool specimens from these patients were examined by rapid STRIP!HpSA and one step simple H pylori antigen cassette test for the detection of H pylori antigens. RESULTS: For these 22 patients, 15 (68.2%) were diagnosed as positive and seven (31.8%) were diagnosed negative for H pylori infection by the gold standard methods. Whereas 10 (45.5%) were positive and 12 (54.5%) were diagnosed negative by the rapid STRIP!HpSA test. The sensitivity, specificity, positive and negative predictive values were 60%, 86%, 90% and 50%, respectively. When compared to the gold standard methods, these differences were not significant. However, six patients (27.3%) were positive, and 16 (72.7%) were negative by the simple H pylori stool antigen cassette test. The sensitivity, specificity, positive and negative predictive values were 33%, 86%, 83% and 38%, respectively. Compared to the gold standard methods, the simple H pylori stool antigen cassette test results were significantly different (P = 0.012). CONCLUSION: Rapid STRIP!HpSA test could be used as a routine diagnostic tool in the microbiology laboratory for assessing clinical significance and eradication control of H pylori in upper gastrointestinal system bleeding patients.","author":[{"dropping-particle":"","family":"Demiray","given":"Ebru","non-dropping-particle":"","parse-names":false,"suffix":""},{"dropping-particle":"","family":"Yilmaz","given":"Ozlem","non-dropping-particle":"","parse-names":false,"suffix":""},{"dropping-particle":"","family":"Sarkis","given":"Cihat","non-dropping-particle":"","parse-names":false,"suffix":""},{"dropping-particle":"","family":"Soyturk","given":"Mujde","non-dropping-particle":"","parse-names":false,"suffix":""},{"dropping-particle":"","family":"Simsek","given":"Ilkay","non-dropping-particle":"","parse-names":false,"suffix":""}],"container-title":"World journal of gastroenterology","id":"ITEM-1","issue":"26","issued":{"date-parts":[["2006","7"]]},"language":"eng","page":"4206-4210","publisher-place":"United States","title":"Comparison of invasive methods and two different stool antigen tests for  diagnosis of H pylori infection in patients with gastric bleeding.","type":"article-journal","volume":"12"},"uris":["http://www.mendeley.com/documents/?uuid=f4525bb4-e6e2-4eb6-9bd5-3617332ea1cb"]}],"mendeley":{"formattedCitation":"[24]","plainTextFormattedCitation":"[24]","previouslyFormattedCitation":"[24]"},"properties":{"noteIndex":0},"schema":"https://github.com/citation-style-language/schema/raw/master/csl-citation.json"}</w:instrText>
      </w:r>
      <w:r w:rsidRPr="00FF757B">
        <w:fldChar w:fldCharType="separate"/>
      </w:r>
      <w:r w:rsidRPr="00FF757B">
        <w:t>[24]</w:t>
      </w:r>
      <w:r w:rsidRPr="00FF757B">
        <w:rPr>
          <w:lang w:val="id-ID"/>
        </w:rPr>
        <w:fldChar w:fldCharType="end"/>
      </w:r>
      <w:r w:rsidRPr="00FF757B">
        <w:t>. These findings reinforce IHC as the gold standard for diagnosing active </w:t>
      </w:r>
      <w:r w:rsidRPr="00FF757B">
        <w:rPr>
          <w:i/>
          <w:iCs/>
        </w:rPr>
        <w:t>H. pylori</w:t>
      </w:r>
      <w:r w:rsidRPr="00FF757B">
        <w:t> infections in clinical practice.</w:t>
      </w:r>
      <w:r w:rsidR="00441FC8">
        <w:t xml:space="preserve"> </w:t>
      </w:r>
    </w:p>
    <w:p w14:paraId="00A20483" w14:textId="77777777" w:rsidR="00441FC8" w:rsidRPr="00441FC8" w:rsidRDefault="00441FC8" w:rsidP="00441FC8">
      <w:pPr>
        <w:jc w:val="both"/>
        <w:rPr>
          <w:sz w:val="12"/>
          <w:szCs w:val="12"/>
        </w:rPr>
      </w:pPr>
    </w:p>
    <w:p w14:paraId="6F3482F8" w14:textId="54209286" w:rsidR="00FF757B" w:rsidRDefault="00FF757B" w:rsidP="00441FC8">
      <w:pPr>
        <w:jc w:val="both"/>
      </w:pPr>
      <w:r w:rsidRPr="00FF757B">
        <w:t>Notably, serum </w:t>
      </w:r>
      <w:r w:rsidRPr="00FF757B">
        <w:rPr>
          <w:i/>
          <w:iCs/>
        </w:rPr>
        <w:t>H. pylori</w:t>
      </w:r>
      <w:r w:rsidRPr="00FF757B">
        <w:t xml:space="preserve"> positivity showed a significant association with adenocarcinoma (p=0.015), suggesting systemic immune activation or bacterial virulence factors (e.g., </w:t>
      </w:r>
      <w:proofErr w:type="spellStart"/>
      <w:r w:rsidRPr="00FF757B">
        <w:t>CagA</w:t>
      </w:r>
      <w:proofErr w:type="spellEnd"/>
      <w:r w:rsidRPr="00FF757B">
        <w:t>) may contribute to carcinogenesis. Polk and Peek (2010) proposed that systemic </w:t>
      </w:r>
      <w:r w:rsidRPr="00FF757B">
        <w:rPr>
          <w:i/>
          <w:iCs/>
        </w:rPr>
        <w:t>H. pylori</w:t>
      </w:r>
      <w:r w:rsidRPr="00FF757B">
        <w:t> antigens could induce chronic inflammation and DNA damage, promoting oncogenic pathways</w:t>
      </w:r>
      <w:r w:rsidRPr="00FF757B">
        <w:fldChar w:fldCharType="begin" w:fldLock="1"/>
      </w:r>
      <w:r w:rsidRPr="00FF757B">
        <w:instrText>ADDIN CSL_CITATION {"citationItems":[{"id":"ITEM-1","itemData":{"DOI":"10.1038/nrc2857","ISSN":"1474-1768 (Electronic)","PMID":"20495574","abstract":"Helicobacter pylori is the dominant species of the human gastric microbiome, and  colonization causes a persistent inflammatory response. H. pylori-induced gastritis is the strongest singular risk factor for cancers of the stomach; however, only a small proportion of infected individuals develop malignancy. Carcinogenic risk is modified by strain-specific bacterial components, host responses and/or specific host-microbe interactions. Delineation of bacterial and host mediators that augment gastric cancer risk has profound ramifications for both physicians and biomedical researchers as such findings will not only focus the prevention approaches that target H. pylori-infected human populations at increased risk for stomach cancer but will also provide mechanistic insights into inflammatory carcinomas that develop beyond the gastric niche.","author":[{"dropping-particle":"","family":"Polk","given":"D Brent","non-dropping-particle":"","parse-names":false,"suffix":""},{"dropping-particle":"","family":"Peek","given":"Richard M Jr","non-dropping-particle":"","parse-names":false,"suffix":""}],"container-title":"Nature reviews. Cancer","id":"ITEM-1","issue":"6","issued":{"date-parts":[["2010","6"]]},"language":"eng","page":"403-414","publisher-place":"England","title":"Helicobacter pylori: gastric cancer and beyond.","type":"article-journal","volume":"10"},"uris":["http://www.mendeley.com/documents/?uuid=55a663d9-9fcf-41b9-bc45-07b231d63faa"]}],"mendeley":{"formattedCitation":"[25]","plainTextFormattedCitation":"[25]","previouslyFormattedCitation":"[25]"},"properties":{"noteIndex":0},"schema":"https://github.com/citation-style-language/schema/raw/master/csl-citation.json"}</w:instrText>
      </w:r>
      <w:r w:rsidRPr="00FF757B">
        <w:fldChar w:fldCharType="separate"/>
      </w:r>
      <w:r w:rsidRPr="00FF757B">
        <w:t>[25]</w:t>
      </w:r>
      <w:r w:rsidRPr="00FF757B">
        <w:rPr>
          <w:lang w:val="id-ID"/>
        </w:rPr>
        <w:fldChar w:fldCharType="end"/>
      </w:r>
      <w:r w:rsidRPr="00FF757B">
        <w:t xml:space="preserve">. However, the lack of significant tissue-specific IHC detection (p=0.363) contrasts with </w:t>
      </w:r>
      <w:proofErr w:type="spellStart"/>
      <w:r w:rsidRPr="00FF757B">
        <w:t>Uemura</w:t>
      </w:r>
      <w:proofErr w:type="spellEnd"/>
      <w:r w:rsidRPr="00FF757B">
        <w:t xml:space="preserve"> et al. (2001), who reported strong correlations between gastric </w:t>
      </w:r>
      <w:r w:rsidRPr="00FF757B">
        <w:rPr>
          <w:i/>
          <w:iCs/>
        </w:rPr>
        <w:t>H. pylori</w:t>
      </w:r>
      <w:r w:rsidRPr="00FF757B">
        <w:t> colonization and adenocarcinoma</w:t>
      </w:r>
      <w:r w:rsidRPr="00FF757B">
        <w:fldChar w:fldCharType="begin" w:fldLock="1"/>
      </w:r>
      <w:r w:rsidRPr="00FF757B">
        <w:instrText>ADDIN CSL_CITATION {"citationItems":[{"id":"ITEM-1","itemData":{"DOI":"10.1056/NEJMoa001999","ISSN":"0028-4793 (Print)","PMID":"11556297","abstract":"BACKGROUND: Although many studies have found an association between Helicobacter  pylori infection and the development of gastric cancer, many aspects of this relation remain uncertain. METHODS: We prospectively studied 1526 Japanese patients who had duodenal ulcers, gastric ulcers, gastric hyperplasia, or nonulcer dyspepsia at the time of enrollment; 1246 had H. pylori infection and 280 did not. The mean follow-up was 7.8 years (range, 1.0 to 10.6). Patients underwent endoscopy with biopsy at enrollment and then between one and three years after enrollment. H. pylori infection was assessed by histologic examination, serologic testing, and rapid urease tests and was defined by a positive result on any of these tests. RESULTS: Gastric cancers developed in 36 (2.9 percent) of the infected and none of the uninfected patients. There were 23 intestinal-type and 13 diffuse-type cancers. Among the patients with H. pylori infection, those with severe gastric atrophy, corpus-predominant gastritis, and intestinal metaplasia were at significantly higher risk for gastric cancer. We detected gastric cancers in 21 (4.7 percent) of the 445 patients with nonulcer dyspepsia, 10 (3.4 percent) of the 297 with gastric ulcers, 5 (2.2 percent) of the 229 with gastric hyperplastic polyps, and none of the 275 with duodenal ulcers. CONCLUSIONS: Gastric cancer develops in persons infected with H. pylori but not in uninfected persons. Those with histologic findings of severe gastric atrophy, corpus-predominant gastritis, or intestinal metaplasia are at increased risk. Persons with H. pylori infection and nonulcer dyspepsia, gastric ulcers, or gastric hyperplastic polyps are also at risk, but those with duodenal ulcers are not.","author":[{"dropping-particle":"","family":"Uemura","given":"N","non-dropping-particle":"","parse-names":false,"suffix":""},{"dropping-particle":"","family":"Okamoto","given":"S","non-dropping-particle":"","parse-names":false,"suffix":""},{"dropping-particle":"","family":"Yamamoto","given":"S","non-dropping-particle":"","parse-names":false,"suffix":""},{"dropping-particle":"","family":"Matsumura","given":"N","non-dropping-particle":"","parse-names":false,"suffix":""},{"dropping-particle":"","family":"Yamaguchi","given":"S","non-dropping-particle":"","parse-names":false,"suffix":""},{"dropping-particle":"","family":"Yamakido","given":"M","non-dropping-particle":"","parse-names":false,"suffix":""},{"dropping-particle":"","family":"Taniyama","given":"K","non-dropping-particle":"","parse-names":false,"suffix":""},{"dropping-particle":"","family":"Sasaki","given":"N","non-dropping-particle":"","parse-names":false,"suffix":""},{"dropping-particle":"","family":"Schlemper","given":"R J","non-dropping-particle":"","parse-names":false,"suffix":""}],"container-title":"The New England journal of medicine","id":"ITEM-1","issue":"11","issued":{"date-parts":[["2001","9"]]},"language":"eng","page":"784-789","publisher-place":"United States","title":"Helicobacter pylori infection and the development of gastric cancer.","type":"article-journal","volume":"345"},"uris":["http://www.mendeley.com/documents/?uuid=7afd7201-1b16-442a-b986-3095cbe0ace1"]}],"mendeley":{"formattedCitation":"[26]","plainTextFormattedCitation":"[26]","previouslyFormattedCitation":"[26]"},"properties":{"noteIndex":0},"schema":"https://github.com/citation-style-language/schema/raw/master/csl-citation.json"}</w:instrText>
      </w:r>
      <w:r w:rsidRPr="00FF757B">
        <w:fldChar w:fldCharType="separate"/>
      </w:r>
      <w:r w:rsidRPr="00FF757B">
        <w:t>[26]</w:t>
      </w:r>
      <w:r w:rsidRPr="00FF757B">
        <w:rPr>
          <w:lang w:val="id-ID"/>
        </w:rPr>
        <w:fldChar w:fldCharType="end"/>
      </w:r>
      <w:r w:rsidRPr="00FF757B">
        <w:t>.This discrepancy may reflect organ-specific pathogenicity or differences in bacterial load, warranting further investigation into systemic versus localized </w:t>
      </w:r>
      <w:r w:rsidRPr="00FF757B">
        <w:rPr>
          <w:i/>
          <w:iCs/>
        </w:rPr>
        <w:t>H. pylori</w:t>
      </w:r>
      <w:r w:rsidRPr="00FF757B">
        <w:t> effects.</w:t>
      </w:r>
      <w:r w:rsidR="008D5EA6">
        <w:t xml:space="preserve"> </w:t>
      </w:r>
    </w:p>
    <w:p w14:paraId="064FBB66" w14:textId="77777777" w:rsidR="008D5EA6" w:rsidRPr="008D5EA6" w:rsidRDefault="008D5EA6" w:rsidP="008D5EA6">
      <w:pPr>
        <w:jc w:val="both"/>
        <w:rPr>
          <w:sz w:val="12"/>
          <w:szCs w:val="12"/>
        </w:rPr>
      </w:pPr>
    </w:p>
    <w:p w14:paraId="4C91675E" w14:textId="3BD4E68D" w:rsidR="00FF757B" w:rsidRPr="00FF757B" w:rsidRDefault="00FF757B" w:rsidP="008D5EA6">
      <w:pPr>
        <w:jc w:val="both"/>
      </w:pPr>
      <w:r w:rsidRPr="00FF757B">
        <w:t xml:space="preserve">The study’s small sample size (n=40) limits statistical power, particularly in subgroup analyses (e.g., juvenile polyps, n=4). Larger cohorts, such as those in the SEER database studies, are essential to validate these trends </w:t>
      </w:r>
      <w:r w:rsidRPr="00FF757B">
        <w:fldChar w:fldCharType="begin" w:fldLock="1"/>
      </w:r>
      <w:r w:rsidRPr="00FF757B">
        <w:instrText>ADDIN CSL_CITATION {"citationItems":[{"id":"ITEM-1","itemData":{"abstract":"SEER Cancer Statistics Review, 1975-2016, National Cancer Institute. Bethesda, MD, https://seer.cancer.gov/csr/1975_2016/, based on November 2018 SEER data submission, posted to the SEER web site, April 2019.","author":[{"dropping-particle":"al","family":"Noone AM, Howlader N, Krapcho M","given":"et","non-dropping-particle":"","parse-names":false,"suffix":""}],"container-title":"Cancer","id":"ITEM-1","issue":"Based on the November 2017 SEER data submission","issued":{"date-parts":[["2018"]]},"page":"4-5","title":"SEER Cancer Statistics Review 1975-2007 National Cancer Institute SEER Cancer Statistics Review 1975-2017 National Cancer Institute","type":"article-journal"},"uris":["http://www.mendeley.com/documents/?uuid=fb042dca-063c-4629-81af-b79ae62d3578"]}],"mendeley":{"formattedCitation":"[27]","plainTextFormattedCitation":"[27]","previouslyFormattedCitation":"[27]"},"properties":{"noteIndex":0},"schema":"https://github.com/citation-style-language/schema/raw/master/csl-citation.json"}</w:instrText>
      </w:r>
      <w:r w:rsidRPr="00FF757B">
        <w:fldChar w:fldCharType="separate"/>
      </w:r>
      <w:r w:rsidRPr="00FF757B">
        <w:t>[27]</w:t>
      </w:r>
      <w:r w:rsidRPr="00FF757B">
        <w:rPr>
          <w:lang w:val="id-ID"/>
        </w:rPr>
        <w:fldChar w:fldCharType="end"/>
      </w:r>
      <w:r w:rsidRPr="00FF757B">
        <w:t>.  Future research should integrate molecular techniques (e.g., PCR, metagenomics) to elucidate strain-specific virulence and host-microbe interactions in carcinogenesis.</w:t>
      </w:r>
      <w:r w:rsidR="008D5EA6">
        <w:t xml:space="preserve"> </w:t>
      </w:r>
    </w:p>
    <w:p w14:paraId="7AE11D71" w14:textId="77777777" w:rsidR="006458BE" w:rsidRPr="008D5EA6" w:rsidRDefault="006458BE" w:rsidP="00190C07">
      <w:pPr>
        <w:jc w:val="both"/>
        <w:rPr>
          <w:sz w:val="12"/>
          <w:szCs w:val="12"/>
        </w:rPr>
      </w:pPr>
    </w:p>
    <w:p w14:paraId="5001B8C5" w14:textId="77777777" w:rsidR="006458BE" w:rsidRPr="008D5EA6" w:rsidRDefault="006458BE" w:rsidP="006458BE">
      <w:pPr>
        <w:rPr>
          <w:sz w:val="12"/>
          <w:szCs w:val="12"/>
          <w:lang w:val="id-ID"/>
        </w:rPr>
      </w:pPr>
    </w:p>
    <w:p w14:paraId="6D1A3ED2" w14:textId="719D81AD" w:rsidR="006458BE" w:rsidRPr="008D5EA6" w:rsidRDefault="008D5EA6" w:rsidP="008D5EA6">
      <w:pPr>
        <w:tabs>
          <w:tab w:val="left" w:pos="426"/>
        </w:tabs>
        <w:rPr>
          <w:b/>
          <w:bCs/>
          <w:sz w:val="22"/>
          <w:szCs w:val="22"/>
          <w:lang w:val="id-ID"/>
        </w:rPr>
      </w:pPr>
      <w:r w:rsidRPr="008D5EA6">
        <w:rPr>
          <w:b/>
          <w:bCs/>
          <w:sz w:val="22"/>
          <w:szCs w:val="22"/>
          <w:lang w:val="en-GB"/>
        </w:rPr>
        <w:t xml:space="preserve">4- </w:t>
      </w:r>
      <w:r w:rsidR="006458BE" w:rsidRPr="008D5EA6">
        <w:rPr>
          <w:b/>
          <w:bCs/>
          <w:sz w:val="22"/>
          <w:szCs w:val="22"/>
          <w:lang w:val="id-ID"/>
        </w:rPr>
        <w:t>CONCLUSION</w:t>
      </w:r>
      <w:r w:rsidR="006458BE" w:rsidRPr="008D5EA6">
        <w:rPr>
          <w:b/>
          <w:bCs/>
          <w:sz w:val="22"/>
          <w:szCs w:val="22"/>
        </w:rPr>
        <w:t xml:space="preserve"> </w:t>
      </w:r>
    </w:p>
    <w:p w14:paraId="74537C99" w14:textId="77777777" w:rsidR="008D5EA6" w:rsidRPr="008D5EA6" w:rsidRDefault="008D5EA6" w:rsidP="008D5EA6">
      <w:pPr>
        <w:jc w:val="both"/>
        <w:rPr>
          <w:sz w:val="12"/>
          <w:szCs w:val="12"/>
          <w:lang w:val="en-GB"/>
        </w:rPr>
      </w:pPr>
    </w:p>
    <w:p w14:paraId="238A9AE4" w14:textId="4992595A" w:rsidR="00FF757B" w:rsidRDefault="00FF757B" w:rsidP="008D5EA6">
      <w:pPr>
        <w:jc w:val="both"/>
        <w:rPr>
          <w:lang w:val="en-GB"/>
        </w:rPr>
      </w:pPr>
      <w:r w:rsidRPr="00FF757B">
        <w:rPr>
          <w:lang w:val="id-ID"/>
        </w:rPr>
        <w:t>This study highlights the predominance of adenocarcinoma in colorectal pathologies and reinforces immunohistochemistry as the gold standard for detecting active H. pylori infections. The significant association between systemic H. pylori seropositivity and adenocarcinoma underscores the potential role of bacterial virulence factors or systemic inflammation in carcinogenesis, contrasting with nonspecific tissue colonization observed via IHC. Limitations, including a small sample size and single-center design, necessitate cautious interpretation. Future research should prioritize multicenter cohorts, molecular analyses of H. pylori strains, and exploration of host-pathogen interactions to elucidate mechanisms linking H. pylori to colorectal cancer. These efforts could refine diagnostic protocols and therapeutic strategies for high-risk populations.</w:t>
      </w:r>
      <w:r w:rsidR="008D5EA6">
        <w:rPr>
          <w:lang w:val="en-GB"/>
        </w:rPr>
        <w:t xml:space="preserve"> </w:t>
      </w:r>
    </w:p>
    <w:p w14:paraId="41E000FA" w14:textId="77777777" w:rsidR="008D5EA6" w:rsidRPr="008D5EA6" w:rsidRDefault="008D5EA6" w:rsidP="008D5EA6">
      <w:pPr>
        <w:jc w:val="both"/>
        <w:rPr>
          <w:sz w:val="12"/>
          <w:szCs w:val="12"/>
          <w:lang w:val="en-GB"/>
        </w:rPr>
      </w:pPr>
    </w:p>
    <w:p w14:paraId="1764D268" w14:textId="0E7AA611" w:rsidR="00FF757B" w:rsidRPr="008D5EA6" w:rsidRDefault="00FF757B" w:rsidP="008D5EA6">
      <w:pPr>
        <w:jc w:val="both"/>
        <w:rPr>
          <w:lang w:val="en-GB"/>
        </w:rPr>
      </w:pPr>
      <w:r w:rsidRPr="00FF757B">
        <w:rPr>
          <w:lang w:val="id-ID"/>
        </w:rPr>
        <w:t>Recommendations: Future research should prioritize larger, multicenter cohorts to validate the association between systemic H. pylori seropositivity and colorectal adenocarcinoma, integrating molecular techniques (e.g., PCR, metagenomics) to enhance diagnostic accuracy and explore strain-specific virulence mechanisms. Mechanistic studies are needed to elucidate H. pylori’s role in carcinogenesis, focusing on systemic inflammation and host-pathogen interactions, while clinical protocols should prioritize immunohistochemistry (IHC) for active infection diagnosis and incorporate systemic H. pylori status as a biomarker for risk assessment. Public health efforts should target smoking cessation and provider education on updated diagnostic guidelines, alongside funding initiatives to support interdisciplinary collaborations, particularly in high-prevalence regions, to advance understanding and improve patient outcomes.</w:t>
      </w:r>
      <w:r w:rsidR="008D5EA6">
        <w:rPr>
          <w:lang w:val="en-GB"/>
        </w:rPr>
        <w:t xml:space="preserve"> </w:t>
      </w:r>
    </w:p>
    <w:p w14:paraId="66DAF81F" w14:textId="77777777" w:rsidR="00FF757B" w:rsidRPr="008D5EA6" w:rsidRDefault="00FF757B" w:rsidP="008D5EA6">
      <w:pPr>
        <w:jc w:val="both"/>
        <w:rPr>
          <w:b/>
          <w:bCs/>
          <w:sz w:val="12"/>
          <w:szCs w:val="12"/>
          <w:lang w:val="en-GB"/>
        </w:rPr>
      </w:pPr>
    </w:p>
    <w:p w14:paraId="11E88E64" w14:textId="325B75EA" w:rsidR="00FF757B" w:rsidRPr="00190C07" w:rsidRDefault="008D5EA6" w:rsidP="00FF757B">
      <w:pPr>
        <w:jc w:val="both"/>
        <w:rPr>
          <w:b/>
          <w:bCs/>
          <w:lang w:val="id-ID"/>
        </w:rPr>
      </w:pPr>
      <w:r>
        <w:rPr>
          <w:b/>
          <w:bCs/>
        </w:rPr>
        <w:t xml:space="preserve">5. </w:t>
      </w:r>
      <w:r w:rsidR="00FF757B" w:rsidRPr="00190C07">
        <w:rPr>
          <w:b/>
          <w:bCs/>
          <w:lang w:val="id-ID"/>
        </w:rPr>
        <w:t xml:space="preserve">Source of Funding: </w:t>
      </w:r>
    </w:p>
    <w:p w14:paraId="6B9B1C7A" w14:textId="77777777" w:rsidR="008D5EA6" w:rsidRPr="008D5EA6" w:rsidRDefault="008D5EA6" w:rsidP="008D5EA6">
      <w:pPr>
        <w:jc w:val="both"/>
        <w:rPr>
          <w:sz w:val="8"/>
          <w:szCs w:val="8"/>
          <w:lang w:val="en-GB"/>
        </w:rPr>
      </w:pPr>
    </w:p>
    <w:p w14:paraId="21AB450F" w14:textId="77777777" w:rsidR="00FF757B" w:rsidRDefault="00FF757B" w:rsidP="008D5EA6">
      <w:pPr>
        <w:jc w:val="both"/>
      </w:pPr>
      <w:r w:rsidRPr="00FF757B">
        <w:rPr>
          <w:lang w:val="id-ID"/>
        </w:rPr>
        <w:t xml:space="preserve">The current study was funded by our charges with no any other funding sources elsewhere. </w:t>
      </w:r>
    </w:p>
    <w:p w14:paraId="700F2EFA" w14:textId="77777777" w:rsidR="00190C07" w:rsidRPr="008D5EA6" w:rsidRDefault="00190C07" w:rsidP="008D5EA6">
      <w:pPr>
        <w:jc w:val="both"/>
        <w:rPr>
          <w:sz w:val="12"/>
          <w:szCs w:val="12"/>
        </w:rPr>
      </w:pPr>
    </w:p>
    <w:p w14:paraId="428502CD" w14:textId="48FE5488" w:rsidR="00FF757B" w:rsidRPr="00190C07" w:rsidRDefault="008D5EA6" w:rsidP="00190C07">
      <w:pPr>
        <w:jc w:val="both"/>
        <w:rPr>
          <w:b/>
          <w:bCs/>
          <w:lang w:val="id-ID"/>
        </w:rPr>
      </w:pPr>
      <w:r>
        <w:rPr>
          <w:b/>
          <w:bCs/>
        </w:rPr>
        <w:t xml:space="preserve">6. </w:t>
      </w:r>
      <w:r w:rsidR="00FF757B" w:rsidRPr="00190C07">
        <w:rPr>
          <w:b/>
          <w:bCs/>
          <w:lang w:val="id-ID"/>
        </w:rPr>
        <w:t>Ethical Clearance:</w:t>
      </w:r>
    </w:p>
    <w:p w14:paraId="5FFDD413" w14:textId="77777777" w:rsidR="008D5EA6" w:rsidRPr="008D5EA6" w:rsidRDefault="008D5EA6" w:rsidP="008D5EA6">
      <w:pPr>
        <w:jc w:val="both"/>
        <w:rPr>
          <w:sz w:val="8"/>
          <w:szCs w:val="8"/>
          <w:lang w:val="en-GB"/>
        </w:rPr>
      </w:pPr>
    </w:p>
    <w:p w14:paraId="22E8F5A7" w14:textId="6286A5A2" w:rsidR="006458BE" w:rsidRPr="008D5EA6" w:rsidRDefault="00FF757B" w:rsidP="008D5EA6">
      <w:pPr>
        <w:jc w:val="both"/>
        <w:rPr>
          <w:lang w:val="en-GB"/>
        </w:rPr>
      </w:pPr>
      <w:r w:rsidRPr="00FF757B">
        <w:rPr>
          <w:lang w:val="id-ID"/>
        </w:rPr>
        <w:t>Official approval has been obtained samples from patients and data were analyzed without the names to protect privacy. This study was conducted  a</w:t>
      </w:r>
      <w:r w:rsidR="008D5EA6">
        <w:rPr>
          <w:lang w:val="id-ID"/>
        </w:rPr>
        <w:t>ccording to the approval</w:t>
      </w:r>
      <w:r w:rsidR="008D5EA6">
        <w:rPr>
          <w:lang w:val="en-GB"/>
        </w:rPr>
        <w:t xml:space="preserve"> </w:t>
      </w:r>
      <w:r w:rsidRPr="00FF757B">
        <w:rPr>
          <w:lang w:val="id-ID"/>
        </w:rPr>
        <w:t>of College of Medicine/ University of Anbar and in  accordance with the ethical guidelines of the Declaration of ethical committee of the College (Ref: 58, Date:</w:t>
      </w:r>
      <w:r w:rsidR="008D5EA6">
        <w:rPr>
          <w:lang w:val="en-GB"/>
        </w:rPr>
        <w:t xml:space="preserve"> </w:t>
      </w:r>
      <w:r w:rsidRPr="00FF757B">
        <w:rPr>
          <w:lang w:val="id-ID"/>
        </w:rPr>
        <w:t>17/4/2024).</w:t>
      </w:r>
      <w:r w:rsidR="006458BE" w:rsidRPr="003D6B19">
        <w:rPr>
          <w:lang w:val="id-ID"/>
        </w:rPr>
        <w:t xml:space="preserve">Provide a statement that what is expected, as stated in the "INTRODUCTION" </w:t>
      </w:r>
      <w:r w:rsidR="006458BE" w:rsidRPr="003D6B19">
        <w:t>section</w:t>
      </w:r>
      <w:r w:rsidR="006458BE" w:rsidRPr="003D6B19">
        <w:rPr>
          <w:lang w:val="id-ID"/>
        </w:rPr>
        <w:t xml:space="preserve"> can ultimately result in "RESULTS AND DISCUSSION" </w:t>
      </w:r>
      <w:r w:rsidR="006458BE" w:rsidRPr="003D6B19">
        <w:t>section</w:t>
      </w:r>
      <w:r w:rsidR="006458BE" w:rsidRPr="003D6B19">
        <w:rPr>
          <w:lang w:val="id-ID"/>
        </w:rPr>
        <w:t>, so there is compatibility. Moreover, it can also be added the prospect of the development of research results and application prospects of further studies into the next (based on result and discussion).</w:t>
      </w:r>
      <w:r w:rsidR="008D5EA6">
        <w:rPr>
          <w:lang w:val="en-GB"/>
        </w:rPr>
        <w:t xml:space="preserve"> </w:t>
      </w:r>
    </w:p>
    <w:p w14:paraId="5E24C8C7" w14:textId="77777777" w:rsidR="006458BE" w:rsidRPr="0078252D" w:rsidRDefault="006458BE" w:rsidP="006458BE">
      <w:pPr>
        <w:rPr>
          <w:b/>
          <w:bCs/>
          <w:sz w:val="12"/>
          <w:szCs w:val="12"/>
          <w:lang w:val="en-GB"/>
        </w:rPr>
      </w:pPr>
    </w:p>
    <w:p w14:paraId="32D9D03A" w14:textId="77777777" w:rsidR="006458BE" w:rsidRPr="0078252D" w:rsidRDefault="006458BE" w:rsidP="008D5EA6">
      <w:pPr>
        <w:jc w:val="both"/>
        <w:rPr>
          <w:rStyle w:val="apple-style-span"/>
          <w:bCs/>
          <w:color w:val="000000"/>
          <w:sz w:val="12"/>
          <w:szCs w:val="12"/>
          <w:lang w:val="pt-BR"/>
        </w:rPr>
      </w:pPr>
    </w:p>
    <w:p w14:paraId="7806F36A" w14:textId="77777777" w:rsidR="0078252D" w:rsidRDefault="0078252D" w:rsidP="006458BE">
      <w:pPr>
        <w:jc w:val="both"/>
        <w:rPr>
          <w:rStyle w:val="apple-style-span"/>
          <w:b/>
          <w:color w:val="000000"/>
          <w:lang w:val="pt-BR"/>
        </w:rPr>
      </w:pPr>
      <w:bookmarkStart w:id="5" w:name="_Hlk78354977"/>
    </w:p>
    <w:p w14:paraId="3DB518B4" w14:textId="77777777" w:rsidR="0078252D" w:rsidRDefault="0078252D" w:rsidP="006458BE">
      <w:pPr>
        <w:jc w:val="both"/>
        <w:rPr>
          <w:rStyle w:val="apple-style-span"/>
          <w:b/>
          <w:color w:val="000000"/>
          <w:lang w:val="pt-BR"/>
        </w:rPr>
      </w:pPr>
    </w:p>
    <w:p w14:paraId="67817A25" w14:textId="77777777" w:rsidR="0078252D" w:rsidRDefault="0078252D" w:rsidP="006458BE">
      <w:pPr>
        <w:jc w:val="both"/>
        <w:rPr>
          <w:rStyle w:val="apple-style-span"/>
          <w:b/>
          <w:color w:val="000000"/>
          <w:lang w:val="pt-BR"/>
        </w:rPr>
      </w:pPr>
    </w:p>
    <w:p w14:paraId="6D37C597" w14:textId="77777777" w:rsidR="0078252D" w:rsidRDefault="0078252D" w:rsidP="006458BE">
      <w:pPr>
        <w:jc w:val="both"/>
        <w:rPr>
          <w:rStyle w:val="apple-style-span"/>
          <w:b/>
          <w:color w:val="000000"/>
          <w:lang w:val="pt-BR"/>
        </w:rPr>
      </w:pPr>
    </w:p>
    <w:p w14:paraId="0FA41E21" w14:textId="77777777" w:rsidR="0078252D" w:rsidRDefault="0078252D" w:rsidP="006458BE">
      <w:pPr>
        <w:jc w:val="both"/>
        <w:rPr>
          <w:rStyle w:val="apple-style-span"/>
          <w:b/>
          <w:color w:val="000000"/>
          <w:lang w:val="pt-BR"/>
        </w:rPr>
      </w:pPr>
    </w:p>
    <w:p w14:paraId="26249D99" w14:textId="77777777" w:rsidR="0078252D" w:rsidRDefault="0078252D" w:rsidP="006458BE">
      <w:pPr>
        <w:jc w:val="both"/>
        <w:rPr>
          <w:rStyle w:val="apple-style-span"/>
          <w:b/>
          <w:color w:val="000000"/>
          <w:lang w:val="pt-BR"/>
        </w:rPr>
      </w:pPr>
    </w:p>
    <w:p w14:paraId="7629B587" w14:textId="77777777" w:rsidR="0078252D" w:rsidRDefault="0078252D" w:rsidP="006458BE">
      <w:pPr>
        <w:jc w:val="both"/>
        <w:rPr>
          <w:rStyle w:val="apple-style-span"/>
          <w:b/>
          <w:color w:val="000000"/>
          <w:lang w:val="pt-BR"/>
        </w:rPr>
      </w:pPr>
    </w:p>
    <w:p w14:paraId="6916180F" w14:textId="77777777" w:rsidR="006458BE" w:rsidRPr="0065793B" w:rsidRDefault="006458BE" w:rsidP="006458BE">
      <w:pPr>
        <w:jc w:val="both"/>
        <w:rPr>
          <w:rStyle w:val="apple-style-span"/>
          <w:b/>
          <w:color w:val="000000"/>
          <w:sz w:val="22"/>
          <w:szCs w:val="22"/>
          <w:lang w:val="pt-BR"/>
        </w:rPr>
      </w:pPr>
      <w:r w:rsidRPr="0065793B">
        <w:rPr>
          <w:rStyle w:val="apple-style-span"/>
          <w:b/>
          <w:color w:val="000000"/>
          <w:sz w:val="22"/>
          <w:szCs w:val="22"/>
          <w:lang w:val="pt-BR"/>
        </w:rPr>
        <w:t>REFERENCES</w:t>
      </w:r>
    </w:p>
    <w:p w14:paraId="0FA5F33C" w14:textId="77777777" w:rsidR="006458BE" w:rsidRDefault="006458BE" w:rsidP="006458BE">
      <w:pPr>
        <w:jc w:val="both"/>
        <w:rPr>
          <w:rStyle w:val="apple-style-span"/>
          <w:b/>
          <w:color w:val="000000"/>
          <w:lang w:val="pt-BR"/>
        </w:rPr>
      </w:pPr>
    </w:p>
    <w:bookmarkEnd w:id="5"/>
    <w:p w14:paraId="7EE91D0F" w14:textId="77777777" w:rsidR="0065793B" w:rsidRDefault="0065793B" w:rsidP="00441FC8">
      <w:pPr>
        <w:numPr>
          <w:ilvl w:val="0"/>
          <w:numId w:val="2"/>
        </w:numPr>
        <w:autoSpaceDE w:val="0"/>
        <w:autoSpaceDN w:val="0"/>
        <w:adjustRightInd w:val="0"/>
        <w:spacing w:before="200" w:after="200" w:line="276" w:lineRule="auto"/>
        <w:ind w:left="284" w:hanging="284"/>
        <w:jc w:val="both"/>
        <w:rPr>
          <w:rFonts w:asciiTheme="majorBidi" w:hAnsiTheme="majorBidi" w:cstheme="majorBidi"/>
          <w:color w:val="000000" w:themeColor="text1"/>
        </w:rPr>
      </w:pPr>
      <w:proofErr w:type="spellStart"/>
      <w:r w:rsidRPr="0065793B">
        <w:rPr>
          <w:rFonts w:eastAsia="CIDFont+F1"/>
          <w:color w:val="000000"/>
        </w:rPr>
        <w:t>Hooi</w:t>
      </w:r>
      <w:proofErr w:type="spellEnd"/>
      <w:r w:rsidRPr="0065793B">
        <w:rPr>
          <w:rFonts w:eastAsia="CIDFont+F1"/>
          <w:color w:val="000000"/>
        </w:rPr>
        <w:t xml:space="preserve">, J. K. Y., Lai, W. Y., Ng, W. K., </w:t>
      </w:r>
      <w:proofErr w:type="spellStart"/>
      <w:r w:rsidRPr="0065793B">
        <w:rPr>
          <w:rFonts w:eastAsia="CIDFont+F1"/>
          <w:color w:val="000000"/>
        </w:rPr>
        <w:t>Suen</w:t>
      </w:r>
      <w:proofErr w:type="spellEnd"/>
      <w:r w:rsidRPr="0065793B">
        <w:rPr>
          <w:rFonts w:eastAsia="CIDFont+F1"/>
          <w:color w:val="000000"/>
        </w:rPr>
        <w:t xml:space="preserve">, M. M. Y., Underwood, F. E., </w:t>
      </w:r>
      <w:proofErr w:type="spellStart"/>
      <w:r w:rsidRPr="0065793B">
        <w:rPr>
          <w:rFonts w:eastAsia="CIDFont+F1"/>
          <w:color w:val="000000"/>
        </w:rPr>
        <w:t>Tanyingoh</w:t>
      </w:r>
      <w:proofErr w:type="spellEnd"/>
      <w:r w:rsidRPr="0065793B">
        <w:rPr>
          <w:rFonts w:eastAsia="CIDFont+F1"/>
          <w:color w:val="000000"/>
        </w:rPr>
        <w:t xml:space="preserve">, D., ... &amp; Ford, A. C. (2017). Global prevalence of Helicobacter pylori infection: Systematic review and meta-analysis. Gastroenterology, 153(2), 420–429. </w:t>
      </w:r>
      <w:hyperlink r:id="rId15" w:history="1">
        <w:r w:rsidRPr="0000555C">
          <w:rPr>
            <w:rStyle w:val="Hyperlink"/>
            <w:rFonts w:eastAsia="CIDFont+F1"/>
          </w:rPr>
          <w:t>https://doi.org/10.1053/j.gastro.2017.04.022</w:t>
        </w:r>
      </w:hyperlink>
      <w:r>
        <w:rPr>
          <w:rFonts w:asciiTheme="majorBidi" w:hAnsiTheme="majorBidi" w:cstheme="majorBidi"/>
          <w:color w:val="000000" w:themeColor="text1"/>
        </w:rPr>
        <w:t xml:space="preserve"> </w:t>
      </w:r>
    </w:p>
    <w:p w14:paraId="1BA099F6" w14:textId="77777777" w:rsidR="0065793B" w:rsidRDefault="0065793B" w:rsidP="00441FC8">
      <w:pPr>
        <w:numPr>
          <w:ilvl w:val="0"/>
          <w:numId w:val="2"/>
        </w:numPr>
        <w:autoSpaceDE w:val="0"/>
        <w:autoSpaceDN w:val="0"/>
        <w:adjustRightInd w:val="0"/>
        <w:spacing w:before="200" w:after="200" w:line="276" w:lineRule="auto"/>
        <w:ind w:left="284" w:hanging="284"/>
        <w:jc w:val="both"/>
        <w:rPr>
          <w:rFonts w:asciiTheme="majorBidi" w:hAnsiTheme="majorBidi" w:cstheme="majorBidi"/>
          <w:color w:val="000000" w:themeColor="text1"/>
        </w:rPr>
      </w:pPr>
      <w:r w:rsidRPr="0065793B">
        <w:rPr>
          <w:rFonts w:eastAsia="CIDFont+F1"/>
          <w:color w:val="000000"/>
        </w:rPr>
        <w:t xml:space="preserve">Cover, T. L., &amp; </w:t>
      </w:r>
      <w:proofErr w:type="spellStart"/>
      <w:r w:rsidRPr="0065793B">
        <w:rPr>
          <w:rFonts w:eastAsia="CIDFont+F1"/>
          <w:color w:val="000000"/>
        </w:rPr>
        <w:t>Blaser</w:t>
      </w:r>
      <w:proofErr w:type="spellEnd"/>
      <w:r w:rsidRPr="0065793B">
        <w:rPr>
          <w:rFonts w:eastAsia="CIDFont+F1"/>
          <w:color w:val="000000"/>
        </w:rPr>
        <w:t xml:space="preserve">, M. J. (2009). Helicobacter pylori in health and disease. Gastroenterology, 136(6), 1863–1873. </w:t>
      </w:r>
      <w:hyperlink r:id="rId16" w:history="1">
        <w:r w:rsidRPr="0000555C">
          <w:rPr>
            <w:rStyle w:val="Hyperlink"/>
            <w:rFonts w:eastAsia="CIDFont+F1"/>
          </w:rPr>
          <w:t>https://doi.org/10.1053/j.gastro.2009.01.073</w:t>
        </w:r>
      </w:hyperlink>
      <w:r>
        <w:rPr>
          <w:rFonts w:asciiTheme="majorBidi" w:hAnsiTheme="majorBidi" w:cstheme="majorBidi"/>
          <w:color w:val="000000" w:themeColor="text1"/>
        </w:rPr>
        <w:t xml:space="preserve"> </w:t>
      </w:r>
    </w:p>
    <w:p w14:paraId="4141845B" w14:textId="77777777" w:rsidR="009C09F0" w:rsidRDefault="0065793B" w:rsidP="00441FC8">
      <w:pPr>
        <w:numPr>
          <w:ilvl w:val="0"/>
          <w:numId w:val="2"/>
        </w:numPr>
        <w:autoSpaceDE w:val="0"/>
        <w:autoSpaceDN w:val="0"/>
        <w:adjustRightInd w:val="0"/>
        <w:spacing w:before="200" w:after="200" w:line="276" w:lineRule="auto"/>
        <w:ind w:left="284" w:hanging="284"/>
        <w:jc w:val="both"/>
        <w:rPr>
          <w:rFonts w:asciiTheme="majorBidi" w:hAnsiTheme="majorBidi" w:cstheme="majorBidi"/>
          <w:color w:val="000000" w:themeColor="text1"/>
        </w:rPr>
      </w:pPr>
      <w:proofErr w:type="gramStart"/>
      <w:r w:rsidRPr="0065793B">
        <w:rPr>
          <w:rFonts w:eastAsia="CIDFont+F1"/>
          <w:color w:val="000000"/>
        </w:rPr>
        <w:t>de</w:t>
      </w:r>
      <w:proofErr w:type="gramEnd"/>
      <w:r w:rsidRPr="0065793B">
        <w:rPr>
          <w:rFonts w:eastAsia="CIDFont+F1"/>
          <w:color w:val="000000"/>
        </w:rPr>
        <w:t xml:space="preserve"> Bernard, M., &amp; </w:t>
      </w:r>
      <w:proofErr w:type="spellStart"/>
      <w:r w:rsidRPr="0065793B">
        <w:rPr>
          <w:rFonts w:eastAsia="CIDFont+F1"/>
          <w:color w:val="000000"/>
        </w:rPr>
        <w:t>Josenhans</w:t>
      </w:r>
      <w:proofErr w:type="spellEnd"/>
      <w:r w:rsidRPr="0065793B">
        <w:rPr>
          <w:rFonts w:eastAsia="CIDFont+F1"/>
          <w:color w:val="000000"/>
        </w:rPr>
        <w:t>, C. (2014). Pathogenesis of Helicobacter pylori infection. Helicobacter, 19(</w:t>
      </w:r>
      <w:proofErr w:type="spellStart"/>
      <w:r w:rsidRPr="0065793B">
        <w:rPr>
          <w:rFonts w:eastAsia="CIDFont+F1"/>
          <w:color w:val="000000"/>
        </w:rPr>
        <w:t>Suppl</w:t>
      </w:r>
      <w:proofErr w:type="spellEnd"/>
      <w:r w:rsidRPr="0065793B">
        <w:rPr>
          <w:rFonts w:eastAsia="CIDFont+F1"/>
          <w:color w:val="000000"/>
        </w:rPr>
        <w:t xml:space="preserve"> 1), 11–18. </w:t>
      </w:r>
      <w:hyperlink r:id="rId17" w:history="1">
        <w:r w:rsidR="009C09F0" w:rsidRPr="0000555C">
          <w:rPr>
            <w:rStyle w:val="Hyperlink"/>
            <w:rFonts w:eastAsia="CIDFont+F1"/>
          </w:rPr>
          <w:t>https://doi.org/10.1111/hel.12160</w:t>
        </w:r>
      </w:hyperlink>
      <w:r w:rsidR="009C09F0">
        <w:rPr>
          <w:rFonts w:asciiTheme="majorBidi" w:hAnsiTheme="majorBidi" w:cstheme="majorBidi"/>
          <w:color w:val="000000" w:themeColor="text1"/>
        </w:rPr>
        <w:t xml:space="preserve"> </w:t>
      </w:r>
    </w:p>
    <w:p w14:paraId="4EF25637" w14:textId="77777777" w:rsidR="009C09F0" w:rsidRDefault="0065793B" w:rsidP="00441FC8">
      <w:pPr>
        <w:numPr>
          <w:ilvl w:val="0"/>
          <w:numId w:val="2"/>
        </w:numPr>
        <w:autoSpaceDE w:val="0"/>
        <w:autoSpaceDN w:val="0"/>
        <w:adjustRightInd w:val="0"/>
        <w:spacing w:before="200" w:after="200" w:line="276" w:lineRule="auto"/>
        <w:ind w:left="284" w:hanging="284"/>
        <w:jc w:val="both"/>
        <w:rPr>
          <w:rFonts w:asciiTheme="majorBidi" w:hAnsiTheme="majorBidi" w:cstheme="majorBidi"/>
          <w:color w:val="000000" w:themeColor="text1"/>
        </w:rPr>
      </w:pPr>
      <w:proofErr w:type="spellStart"/>
      <w:r w:rsidRPr="009C09F0">
        <w:rPr>
          <w:rFonts w:eastAsia="CIDFont+F1"/>
          <w:color w:val="000000"/>
        </w:rPr>
        <w:t>Hatakeyama</w:t>
      </w:r>
      <w:proofErr w:type="spellEnd"/>
      <w:r w:rsidRPr="009C09F0">
        <w:rPr>
          <w:rFonts w:eastAsia="CIDFont+F1"/>
          <w:color w:val="000000"/>
        </w:rPr>
        <w:t xml:space="preserve">, M. (2004). Oncogenic mechanisms of the Helicobacter pylori </w:t>
      </w:r>
      <w:proofErr w:type="spellStart"/>
      <w:r w:rsidRPr="009C09F0">
        <w:rPr>
          <w:rFonts w:eastAsia="CIDFont+F1"/>
          <w:color w:val="000000"/>
        </w:rPr>
        <w:t>CagA</w:t>
      </w:r>
      <w:proofErr w:type="spellEnd"/>
      <w:r w:rsidRPr="009C09F0">
        <w:rPr>
          <w:rFonts w:eastAsia="CIDFont+F1"/>
          <w:color w:val="000000"/>
        </w:rPr>
        <w:t xml:space="preserve"> protein. Nature Reviews Cancer, 4(9), 688–694. </w:t>
      </w:r>
      <w:hyperlink r:id="rId18" w:history="1">
        <w:r w:rsidR="009C09F0" w:rsidRPr="0000555C">
          <w:rPr>
            <w:rStyle w:val="Hyperlink"/>
            <w:rFonts w:eastAsia="CIDFont+F1"/>
          </w:rPr>
          <w:t>https://doi.org/10.1038/nrc1433</w:t>
        </w:r>
      </w:hyperlink>
      <w:r w:rsidR="009C09F0">
        <w:rPr>
          <w:rFonts w:asciiTheme="majorBidi" w:hAnsiTheme="majorBidi" w:cstheme="majorBidi"/>
          <w:color w:val="000000" w:themeColor="text1"/>
        </w:rPr>
        <w:t xml:space="preserve"> </w:t>
      </w:r>
    </w:p>
    <w:p w14:paraId="1C53AEEF" w14:textId="77777777" w:rsidR="009C09F0" w:rsidRDefault="0065793B" w:rsidP="00441FC8">
      <w:pPr>
        <w:numPr>
          <w:ilvl w:val="0"/>
          <w:numId w:val="2"/>
        </w:numPr>
        <w:autoSpaceDE w:val="0"/>
        <w:autoSpaceDN w:val="0"/>
        <w:adjustRightInd w:val="0"/>
        <w:spacing w:before="200" w:after="200" w:line="276" w:lineRule="auto"/>
        <w:ind w:left="284" w:hanging="284"/>
        <w:jc w:val="both"/>
        <w:rPr>
          <w:rFonts w:asciiTheme="majorBidi" w:hAnsiTheme="majorBidi" w:cstheme="majorBidi"/>
          <w:color w:val="000000" w:themeColor="text1"/>
        </w:rPr>
      </w:pPr>
      <w:proofErr w:type="spellStart"/>
      <w:r w:rsidRPr="009C09F0">
        <w:rPr>
          <w:rFonts w:eastAsia="CIDFont+F1"/>
          <w:color w:val="000000"/>
        </w:rPr>
        <w:t>Elbehiry</w:t>
      </w:r>
      <w:proofErr w:type="spellEnd"/>
      <w:r w:rsidRPr="009C09F0">
        <w:rPr>
          <w:rFonts w:eastAsia="CIDFont+F1"/>
          <w:color w:val="000000"/>
        </w:rPr>
        <w:t xml:space="preserve">, A., </w:t>
      </w:r>
      <w:proofErr w:type="spellStart"/>
      <w:r w:rsidRPr="009C09F0">
        <w:rPr>
          <w:rFonts w:eastAsia="CIDFont+F1"/>
          <w:color w:val="000000"/>
        </w:rPr>
        <w:t>Marzouk</w:t>
      </w:r>
      <w:proofErr w:type="spellEnd"/>
      <w:r w:rsidRPr="009C09F0">
        <w:rPr>
          <w:rFonts w:eastAsia="CIDFont+F1"/>
          <w:color w:val="000000"/>
        </w:rPr>
        <w:t>, E., Hamada, M., Moussa, I. M. I., El-</w:t>
      </w:r>
      <w:proofErr w:type="spellStart"/>
      <w:r w:rsidRPr="009C09F0">
        <w:rPr>
          <w:rFonts w:eastAsia="CIDFont+F1"/>
          <w:color w:val="000000"/>
        </w:rPr>
        <w:t>Gedawy</w:t>
      </w:r>
      <w:proofErr w:type="spellEnd"/>
      <w:r w:rsidRPr="009C09F0">
        <w:rPr>
          <w:rFonts w:eastAsia="CIDFont+F1"/>
          <w:color w:val="000000"/>
        </w:rPr>
        <w:t xml:space="preserve">, A., &amp; Yang, J. (2023). Helicobacter pylori infection: Current status and future prospects on diagnostic, therapeutic and control challenges. Antibiotics, 12(2), 191. </w:t>
      </w:r>
      <w:hyperlink r:id="rId19" w:history="1">
        <w:r w:rsidR="009C09F0" w:rsidRPr="0000555C">
          <w:rPr>
            <w:rStyle w:val="Hyperlink"/>
            <w:rFonts w:eastAsia="CIDFont+F1"/>
          </w:rPr>
          <w:t>https://doi.org/10.3390/antibiotics12020191</w:t>
        </w:r>
      </w:hyperlink>
      <w:r w:rsidR="009C09F0">
        <w:rPr>
          <w:rFonts w:asciiTheme="majorBidi" w:hAnsiTheme="majorBidi" w:cstheme="majorBidi"/>
          <w:color w:val="000000" w:themeColor="text1"/>
        </w:rPr>
        <w:t xml:space="preserve"> </w:t>
      </w:r>
    </w:p>
    <w:p w14:paraId="300F9750" w14:textId="77777777" w:rsidR="009C09F0" w:rsidRDefault="0065793B" w:rsidP="00441FC8">
      <w:pPr>
        <w:numPr>
          <w:ilvl w:val="0"/>
          <w:numId w:val="2"/>
        </w:numPr>
        <w:autoSpaceDE w:val="0"/>
        <w:autoSpaceDN w:val="0"/>
        <w:adjustRightInd w:val="0"/>
        <w:spacing w:before="200" w:after="200" w:line="276" w:lineRule="auto"/>
        <w:ind w:left="284" w:hanging="284"/>
        <w:jc w:val="both"/>
        <w:rPr>
          <w:rFonts w:asciiTheme="majorBidi" w:hAnsiTheme="majorBidi" w:cstheme="majorBidi"/>
          <w:color w:val="000000" w:themeColor="text1"/>
        </w:rPr>
      </w:pPr>
      <w:r w:rsidRPr="009C09F0">
        <w:rPr>
          <w:rFonts w:eastAsia="CIDFont+F1"/>
          <w:color w:val="000000"/>
        </w:rPr>
        <w:t xml:space="preserve">Sung, H., </w:t>
      </w:r>
      <w:proofErr w:type="spellStart"/>
      <w:r w:rsidRPr="009C09F0">
        <w:rPr>
          <w:rFonts w:eastAsia="CIDFont+F1"/>
          <w:color w:val="000000"/>
        </w:rPr>
        <w:t>Ferlay</w:t>
      </w:r>
      <w:proofErr w:type="spellEnd"/>
      <w:r w:rsidRPr="009C09F0">
        <w:rPr>
          <w:rFonts w:eastAsia="CIDFont+F1"/>
          <w:color w:val="000000"/>
        </w:rPr>
        <w:t xml:space="preserve">, J., Siegel, R. L., </w:t>
      </w:r>
      <w:proofErr w:type="spellStart"/>
      <w:r w:rsidRPr="009C09F0">
        <w:rPr>
          <w:rFonts w:eastAsia="CIDFont+F1"/>
          <w:color w:val="000000"/>
        </w:rPr>
        <w:t>Laversanne</w:t>
      </w:r>
      <w:proofErr w:type="spellEnd"/>
      <w:r w:rsidRPr="009C09F0">
        <w:rPr>
          <w:rFonts w:eastAsia="CIDFont+F1"/>
          <w:color w:val="000000"/>
        </w:rPr>
        <w:t xml:space="preserve">, M., </w:t>
      </w:r>
      <w:proofErr w:type="spellStart"/>
      <w:r w:rsidRPr="009C09F0">
        <w:rPr>
          <w:rFonts w:eastAsia="CIDFont+F1"/>
          <w:color w:val="000000"/>
        </w:rPr>
        <w:t>Soerjomataram</w:t>
      </w:r>
      <w:proofErr w:type="spellEnd"/>
      <w:r w:rsidRPr="009C09F0">
        <w:rPr>
          <w:rFonts w:eastAsia="CIDFont+F1"/>
          <w:color w:val="000000"/>
        </w:rPr>
        <w:t xml:space="preserve">, I., </w:t>
      </w:r>
      <w:proofErr w:type="spellStart"/>
      <w:r w:rsidRPr="009C09F0">
        <w:rPr>
          <w:rFonts w:eastAsia="CIDFont+F1"/>
          <w:color w:val="000000"/>
        </w:rPr>
        <w:t>Jemal</w:t>
      </w:r>
      <w:proofErr w:type="spellEnd"/>
      <w:r w:rsidRPr="009C09F0">
        <w:rPr>
          <w:rFonts w:eastAsia="CIDFont+F1"/>
          <w:color w:val="000000"/>
        </w:rPr>
        <w:t xml:space="preserve">, A., &amp; Bray, F. (2021). Global cancer statistics 2020: GLOBOCAN estimates of incidence and mortality worldwide for 36 cancers in 185 countries. CA: A Cancer Journal for Clinicians, 71(3), 209–249. </w:t>
      </w:r>
      <w:hyperlink r:id="rId20" w:history="1">
        <w:r w:rsidR="009C09F0" w:rsidRPr="0000555C">
          <w:rPr>
            <w:rStyle w:val="Hyperlink"/>
            <w:rFonts w:eastAsia="CIDFont+F1"/>
          </w:rPr>
          <w:t>https://doi.org/10.3322/caac.21660</w:t>
        </w:r>
      </w:hyperlink>
      <w:r w:rsidR="009C09F0">
        <w:rPr>
          <w:rFonts w:asciiTheme="majorBidi" w:hAnsiTheme="majorBidi" w:cstheme="majorBidi"/>
          <w:color w:val="000000" w:themeColor="text1"/>
        </w:rPr>
        <w:t xml:space="preserve"> </w:t>
      </w:r>
    </w:p>
    <w:p w14:paraId="6DC70F0F" w14:textId="77777777" w:rsidR="009C09F0" w:rsidRDefault="0065793B" w:rsidP="00441FC8">
      <w:pPr>
        <w:numPr>
          <w:ilvl w:val="0"/>
          <w:numId w:val="2"/>
        </w:numPr>
        <w:autoSpaceDE w:val="0"/>
        <w:autoSpaceDN w:val="0"/>
        <w:adjustRightInd w:val="0"/>
        <w:spacing w:before="200" w:after="200" w:line="276" w:lineRule="auto"/>
        <w:ind w:left="284" w:hanging="284"/>
        <w:jc w:val="both"/>
        <w:rPr>
          <w:rFonts w:asciiTheme="majorBidi" w:hAnsiTheme="majorBidi" w:cstheme="majorBidi"/>
          <w:color w:val="000000" w:themeColor="text1"/>
        </w:rPr>
      </w:pPr>
      <w:r w:rsidRPr="009C09F0">
        <w:rPr>
          <w:rFonts w:eastAsia="CIDFont+F1"/>
          <w:color w:val="000000"/>
        </w:rPr>
        <w:t xml:space="preserve">Butt, J., &amp; </w:t>
      </w:r>
      <w:proofErr w:type="spellStart"/>
      <w:r w:rsidRPr="009C09F0">
        <w:rPr>
          <w:rFonts w:eastAsia="CIDFont+F1"/>
          <w:color w:val="000000"/>
        </w:rPr>
        <w:t>Epplein</w:t>
      </w:r>
      <w:proofErr w:type="spellEnd"/>
      <w:r w:rsidRPr="009C09F0">
        <w:rPr>
          <w:rFonts w:eastAsia="CIDFont+F1"/>
          <w:color w:val="000000"/>
        </w:rPr>
        <w:t xml:space="preserve">, M. (2019). Helicobacter pylori and colorectal cancer—A bacterium going abroad? </w:t>
      </w:r>
      <w:proofErr w:type="spellStart"/>
      <w:r w:rsidRPr="009C09F0">
        <w:rPr>
          <w:rFonts w:eastAsia="CIDFont+F1"/>
          <w:color w:val="000000"/>
        </w:rPr>
        <w:t>PLoS</w:t>
      </w:r>
      <w:proofErr w:type="spellEnd"/>
      <w:r w:rsidRPr="009C09F0">
        <w:rPr>
          <w:rFonts w:eastAsia="CIDFont+F1"/>
          <w:color w:val="000000"/>
        </w:rPr>
        <w:t xml:space="preserve"> Pathogens, 15(8), e1007861. </w:t>
      </w:r>
      <w:hyperlink r:id="rId21" w:history="1">
        <w:r w:rsidR="009C09F0" w:rsidRPr="0000555C">
          <w:rPr>
            <w:rStyle w:val="Hyperlink"/>
            <w:rFonts w:eastAsia="CIDFont+F1"/>
          </w:rPr>
          <w:t>https://doi.org/10.1371/journal.ppat.1007861</w:t>
        </w:r>
      </w:hyperlink>
      <w:r w:rsidR="009C09F0">
        <w:rPr>
          <w:rFonts w:asciiTheme="majorBidi" w:hAnsiTheme="majorBidi" w:cstheme="majorBidi"/>
          <w:color w:val="000000" w:themeColor="text1"/>
        </w:rPr>
        <w:t xml:space="preserve"> </w:t>
      </w:r>
    </w:p>
    <w:p w14:paraId="2181C953" w14:textId="77777777" w:rsidR="009C09F0" w:rsidRDefault="0065793B" w:rsidP="00441FC8">
      <w:pPr>
        <w:numPr>
          <w:ilvl w:val="0"/>
          <w:numId w:val="2"/>
        </w:numPr>
        <w:autoSpaceDE w:val="0"/>
        <w:autoSpaceDN w:val="0"/>
        <w:adjustRightInd w:val="0"/>
        <w:spacing w:before="200" w:after="200" w:line="276" w:lineRule="auto"/>
        <w:ind w:left="284" w:hanging="284"/>
        <w:jc w:val="both"/>
        <w:rPr>
          <w:rFonts w:asciiTheme="majorBidi" w:hAnsiTheme="majorBidi" w:cstheme="majorBidi"/>
          <w:color w:val="000000" w:themeColor="text1"/>
        </w:rPr>
      </w:pPr>
      <w:r w:rsidRPr="009C09F0">
        <w:rPr>
          <w:rFonts w:eastAsia="CIDFont+F1"/>
          <w:color w:val="000000"/>
        </w:rPr>
        <w:t xml:space="preserve">Hossain, M. S., </w:t>
      </w:r>
      <w:proofErr w:type="spellStart"/>
      <w:r w:rsidRPr="009C09F0">
        <w:rPr>
          <w:rFonts w:eastAsia="CIDFont+F1"/>
          <w:color w:val="000000"/>
        </w:rPr>
        <w:t>Karuniawati</w:t>
      </w:r>
      <w:proofErr w:type="spellEnd"/>
      <w:r w:rsidRPr="009C09F0">
        <w:rPr>
          <w:rFonts w:eastAsia="CIDFont+F1"/>
          <w:color w:val="000000"/>
        </w:rPr>
        <w:t xml:space="preserve">, H., </w:t>
      </w:r>
      <w:proofErr w:type="spellStart"/>
      <w:r w:rsidRPr="009C09F0">
        <w:rPr>
          <w:rFonts w:eastAsia="CIDFont+F1"/>
          <w:color w:val="000000"/>
        </w:rPr>
        <w:t>Jairoun</w:t>
      </w:r>
      <w:proofErr w:type="spellEnd"/>
      <w:r w:rsidRPr="009C09F0">
        <w:rPr>
          <w:rFonts w:eastAsia="CIDFont+F1"/>
          <w:color w:val="000000"/>
        </w:rPr>
        <w:t>, A. A., Abu-</w:t>
      </w:r>
      <w:proofErr w:type="spellStart"/>
      <w:r w:rsidRPr="009C09F0">
        <w:rPr>
          <w:rFonts w:eastAsia="CIDFont+F1"/>
          <w:color w:val="000000"/>
        </w:rPr>
        <w:t>Naser</w:t>
      </w:r>
      <w:proofErr w:type="spellEnd"/>
      <w:r w:rsidRPr="009C09F0">
        <w:rPr>
          <w:rFonts w:eastAsia="CIDFont+F1"/>
          <w:color w:val="000000"/>
        </w:rPr>
        <w:t xml:space="preserve">, S. M., </w:t>
      </w:r>
      <w:proofErr w:type="spellStart"/>
      <w:r w:rsidRPr="009C09F0">
        <w:rPr>
          <w:rFonts w:eastAsia="CIDFont+F1"/>
          <w:color w:val="000000"/>
        </w:rPr>
        <w:t>Alrashdi</w:t>
      </w:r>
      <w:proofErr w:type="spellEnd"/>
      <w:r w:rsidRPr="009C09F0">
        <w:rPr>
          <w:rFonts w:eastAsia="CIDFont+F1"/>
          <w:color w:val="000000"/>
        </w:rPr>
        <w:t xml:space="preserve">, I., &amp; </w:t>
      </w:r>
      <w:proofErr w:type="spellStart"/>
      <w:r w:rsidRPr="009C09F0">
        <w:rPr>
          <w:rFonts w:eastAsia="CIDFont+F1"/>
          <w:color w:val="000000"/>
        </w:rPr>
        <w:t>Ganesan</w:t>
      </w:r>
      <w:proofErr w:type="spellEnd"/>
      <w:r w:rsidRPr="009C09F0">
        <w:rPr>
          <w:rFonts w:eastAsia="CIDFont+F1"/>
          <w:color w:val="000000"/>
        </w:rPr>
        <w:t xml:space="preserve">, V. B. (2022). Colorectal cancer: A review of carcinogenesis, global epidemiology, current challenges, risk factors, preventive and treatment strategies. Cancers, 14(7), 1732. </w:t>
      </w:r>
      <w:hyperlink r:id="rId22" w:history="1">
        <w:r w:rsidR="009C09F0" w:rsidRPr="0000555C">
          <w:rPr>
            <w:rStyle w:val="Hyperlink"/>
            <w:rFonts w:eastAsia="CIDFont+F1"/>
          </w:rPr>
          <w:t>https://doi.org/10.3390/cancers14071732</w:t>
        </w:r>
      </w:hyperlink>
      <w:r w:rsidR="009C09F0">
        <w:rPr>
          <w:rFonts w:asciiTheme="majorBidi" w:hAnsiTheme="majorBidi" w:cstheme="majorBidi"/>
          <w:color w:val="000000" w:themeColor="text1"/>
        </w:rPr>
        <w:t xml:space="preserve"> </w:t>
      </w:r>
    </w:p>
    <w:p w14:paraId="430F3DDA" w14:textId="77777777" w:rsidR="009C09F0" w:rsidRDefault="0065793B" w:rsidP="00441FC8">
      <w:pPr>
        <w:numPr>
          <w:ilvl w:val="0"/>
          <w:numId w:val="2"/>
        </w:numPr>
        <w:autoSpaceDE w:val="0"/>
        <w:autoSpaceDN w:val="0"/>
        <w:adjustRightInd w:val="0"/>
        <w:spacing w:before="200" w:after="200" w:line="276" w:lineRule="auto"/>
        <w:ind w:left="284" w:hanging="284"/>
        <w:jc w:val="both"/>
        <w:rPr>
          <w:rFonts w:asciiTheme="majorBidi" w:hAnsiTheme="majorBidi" w:cstheme="majorBidi"/>
          <w:color w:val="000000" w:themeColor="text1"/>
        </w:rPr>
      </w:pPr>
      <w:proofErr w:type="spellStart"/>
      <w:r w:rsidRPr="009C09F0">
        <w:rPr>
          <w:rFonts w:eastAsia="CIDFont+F1"/>
          <w:color w:val="000000"/>
        </w:rPr>
        <w:t>Testa</w:t>
      </w:r>
      <w:proofErr w:type="spellEnd"/>
      <w:r w:rsidRPr="009C09F0">
        <w:rPr>
          <w:rFonts w:eastAsia="CIDFont+F1"/>
          <w:color w:val="000000"/>
        </w:rPr>
        <w:t xml:space="preserve">, U., Pelosi, E., &amp; </w:t>
      </w:r>
      <w:proofErr w:type="spellStart"/>
      <w:r w:rsidRPr="009C09F0">
        <w:rPr>
          <w:rFonts w:eastAsia="CIDFont+F1"/>
          <w:color w:val="000000"/>
        </w:rPr>
        <w:t>Castelli</w:t>
      </w:r>
      <w:proofErr w:type="spellEnd"/>
      <w:r w:rsidRPr="009C09F0">
        <w:rPr>
          <w:rFonts w:eastAsia="CIDFont+F1"/>
          <w:color w:val="000000"/>
        </w:rPr>
        <w:t xml:space="preserve">, G. (2018). Colorectal cancer: Genetic abnormalities, tumor progression, tumor heterogeneity, clonal evolution and tumor-initiating cells. Medical Sciences, 6(2), 31. </w:t>
      </w:r>
      <w:hyperlink r:id="rId23" w:history="1">
        <w:r w:rsidR="009C09F0" w:rsidRPr="0000555C">
          <w:rPr>
            <w:rStyle w:val="Hyperlink"/>
            <w:rFonts w:eastAsia="CIDFont+F1"/>
          </w:rPr>
          <w:t>https://doi.org/10.3390/medsci6020031</w:t>
        </w:r>
      </w:hyperlink>
      <w:r w:rsidR="009C09F0">
        <w:rPr>
          <w:rFonts w:asciiTheme="majorBidi" w:hAnsiTheme="majorBidi" w:cstheme="majorBidi"/>
          <w:color w:val="000000" w:themeColor="text1"/>
        </w:rPr>
        <w:t xml:space="preserve"> </w:t>
      </w:r>
    </w:p>
    <w:p w14:paraId="31569DFB"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r w:rsidRPr="009C09F0">
        <w:rPr>
          <w:rFonts w:eastAsia="CIDFont+F1"/>
          <w:color w:val="000000"/>
        </w:rPr>
        <w:t xml:space="preserve">Vogelstein, B., </w:t>
      </w:r>
      <w:proofErr w:type="spellStart"/>
      <w:r w:rsidRPr="009C09F0">
        <w:rPr>
          <w:rFonts w:eastAsia="CIDFont+F1"/>
          <w:color w:val="000000"/>
        </w:rPr>
        <w:t>Fearon</w:t>
      </w:r>
      <w:proofErr w:type="spellEnd"/>
      <w:r w:rsidRPr="009C09F0">
        <w:rPr>
          <w:rFonts w:eastAsia="CIDFont+F1"/>
          <w:color w:val="000000"/>
        </w:rPr>
        <w:t xml:space="preserve">, E. R., Hamilton, S. R., Kern, S. E., </w:t>
      </w:r>
      <w:proofErr w:type="spellStart"/>
      <w:r w:rsidRPr="009C09F0">
        <w:rPr>
          <w:rFonts w:eastAsia="CIDFont+F1"/>
          <w:color w:val="000000"/>
        </w:rPr>
        <w:t>Preisinger</w:t>
      </w:r>
      <w:proofErr w:type="spellEnd"/>
      <w:r w:rsidRPr="009C09F0">
        <w:rPr>
          <w:rFonts w:eastAsia="CIDFont+F1"/>
          <w:color w:val="000000"/>
        </w:rPr>
        <w:t xml:space="preserve">, A. C., </w:t>
      </w:r>
      <w:proofErr w:type="spellStart"/>
      <w:r w:rsidRPr="009C09F0">
        <w:rPr>
          <w:rFonts w:eastAsia="CIDFont+F1"/>
          <w:color w:val="000000"/>
        </w:rPr>
        <w:t>Leppert</w:t>
      </w:r>
      <w:proofErr w:type="spellEnd"/>
      <w:r w:rsidRPr="009C09F0">
        <w:rPr>
          <w:rFonts w:eastAsia="CIDFont+F1"/>
          <w:color w:val="000000"/>
        </w:rPr>
        <w:t xml:space="preserve">, M., ... &amp; White, R. (1988). Genetic alterations during colorectal-tumor development. The New England Journal of Medicine, 319(9), 525–532. </w:t>
      </w:r>
      <w:hyperlink r:id="rId24" w:history="1">
        <w:r w:rsidR="009C09F0" w:rsidRPr="0000555C">
          <w:rPr>
            <w:rStyle w:val="Hyperlink"/>
            <w:rFonts w:eastAsia="CIDFont+F1"/>
          </w:rPr>
          <w:t>https://doi.org/10.1056/NEJM198809013190901</w:t>
        </w:r>
      </w:hyperlink>
      <w:r w:rsidR="009C09F0">
        <w:rPr>
          <w:rFonts w:asciiTheme="majorBidi" w:hAnsiTheme="majorBidi" w:cstheme="majorBidi"/>
          <w:color w:val="000000" w:themeColor="text1"/>
        </w:rPr>
        <w:t xml:space="preserve"> </w:t>
      </w:r>
    </w:p>
    <w:p w14:paraId="3886721A"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proofErr w:type="spellStart"/>
      <w:r w:rsidRPr="009C09F0">
        <w:rPr>
          <w:rFonts w:eastAsia="CIDFont+F1"/>
          <w:color w:val="000000"/>
        </w:rPr>
        <w:t>Hanahan</w:t>
      </w:r>
      <w:proofErr w:type="spellEnd"/>
      <w:r w:rsidRPr="009C09F0">
        <w:rPr>
          <w:rFonts w:eastAsia="CIDFont+F1"/>
          <w:color w:val="000000"/>
        </w:rPr>
        <w:t xml:space="preserve">, D., &amp; Weinberg, R. A. (2011). Hallmarks of cancer: The next generation. Cell, 144(5), 646–674. </w:t>
      </w:r>
      <w:hyperlink r:id="rId25" w:history="1">
        <w:r w:rsidR="009C09F0" w:rsidRPr="0000555C">
          <w:rPr>
            <w:rStyle w:val="Hyperlink"/>
            <w:rFonts w:eastAsia="CIDFont+F1"/>
          </w:rPr>
          <w:t>https://doi.org/10.1016/j.cell.2011.02.013</w:t>
        </w:r>
      </w:hyperlink>
      <w:r w:rsidR="009C09F0">
        <w:rPr>
          <w:rFonts w:asciiTheme="majorBidi" w:hAnsiTheme="majorBidi" w:cstheme="majorBidi"/>
          <w:color w:val="000000" w:themeColor="text1"/>
        </w:rPr>
        <w:t xml:space="preserve"> </w:t>
      </w:r>
    </w:p>
    <w:p w14:paraId="556987C5"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r w:rsidRPr="009C09F0">
        <w:rPr>
          <w:rFonts w:eastAsia="CIDFont+F1"/>
          <w:color w:val="000000"/>
        </w:rPr>
        <w:t xml:space="preserve">Wood, L. D., Parsons, D. W., Jones, S., Lin, J., </w:t>
      </w:r>
      <w:proofErr w:type="spellStart"/>
      <w:r w:rsidRPr="009C09F0">
        <w:rPr>
          <w:rFonts w:eastAsia="CIDFont+F1"/>
          <w:color w:val="000000"/>
        </w:rPr>
        <w:t>Sjoblom</w:t>
      </w:r>
      <w:proofErr w:type="spellEnd"/>
      <w:r w:rsidRPr="009C09F0">
        <w:rPr>
          <w:rFonts w:eastAsia="CIDFont+F1"/>
          <w:color w:val="000000"/>
        </w:rPr>
        <w:t>, T., Leary, R. J</w:t>
      </w:r>
      <w:proofErr w:type="gramStart"/>
      <w:r w:rsidRPr="009C09F0">
        <w:rPr>
          <w:rFonts w:eastAsia="CIDFont+F1"/>
          <w:color w:val="000000"/>
        </w:rPr>
        <w:t>., ...</w:t>
      </w:r>
      <w:proofErr w:type="gramEnd"/>
      <w:r w:rsidRPr="009C09F0">
        <w:rPr>
          <w:rFonts w:eastAsia="CIDFont+F1"/>
          <w:color w:val="000000"/>
        </w:rPr>
        <w:t xml:space="preserve"> &amp; Vogelstein, B. (2007). The genomic landscapes of human breast and colorectal cancers. Science, 318(5853), 1108–1113. </w:t>
      </w:r>
      <w:hyperlink r:id="rId26" w:history="1">
        <w:r w:rsidR="009C09F0" w:rsidRPr="0000555C">
          <w:rPr>
            <w:rStyle w:val="Hyperlink"/>
            <w:rFonts w:eastAsia="CIDFont+F1"/>
          </w:rPr>
          <w:t>https://doi.org/10.1126/science.1145720</w:t>
        </w:r>
      </w:hyperlink>
      <w:r w:rsidR="009C09F0">
        <w:rPr>
          <w:rFonts w:asciiTheme="majorBidi" w:hAnsiTheme="majorBidi" w:cstheme="majorBidi"/>
          <w:color w:val="000000" w:themeColor="text1"/>
        </w:rPr>
        <w:t xml:space="preserve"> </w:t>
      </w:r>
    </w:p>
    <w:p w14:paraId="0C5941AE"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r w:rsidRPr="009C09F0">
        <w:rPr>
          <w:rFonts w:eastAsia="CIDFont+F1"/>
          <w:color w:val="000000"/>
        </w:rPr>
        <w:t>Li, Q., Liu, Q., Ma, J., Dai, W., Mo, S., Xu, Y</w:t>
      </w:r>
      <w:proofErr w:type="gramStart"/>
      <w:r w:rsidRPr="009C09F0">
        <w:rPr>
          <w:rFonts w:eastAsia="CIDFont+F1"/>
          <w:color w:val="000000"/>
        </w:rPr>
        <w:t>., ...</w:t>
      </w:r>
      <w:proofErr w:type="gramEnd"/>
      <w:r w:rsidRPr="009C09F0">
        <w:rPr>
          <w:rFonts w:eastAsia="CIDFont+F1"/>
          <w:color w:val="000000"/>
        </w:rPr>
        <w:t xml:space="preserve"> &amp; </w:t>
      </w:r>
      <w:proofErr w:type="spellStart"/>
      <w:r w:rsidRPr="009C09F0">
        <w:rPr>
          <w:rFonts w:eastAsia="CIDFont+F1"/>
          <w:color w:val="000000"/>
        </w:rPr>
        <w:t>Cai</w:t>
      </w:r>
      <w:proofErr w:type="spellEnd"/>
      <w:r w:rsidRPr="009C09F0">
        <w:rPr>
          <w:rFonts w:eastAsia="CIDFont+F1"/>
          <w:color w:val="000000"/>
        </w:rPr>
        <w:t xml:space="preserve">, G. (2024). Signaling pathways involved in colorectal cancer: Pathogenesis and targeted therapy. Signal Transduction and Targeted Therapy, 9, 266. </w:t>
      </w:r>
      <w:hyperlink r:id="rId27" w:history="1">
        <w:r w:rsidR="009C09F0" w:rsidRPr="0000555C">
          <w:rPr>
            <w:rStyle w:val="Hyperlink"/>
            <w:rFonts w:eastAsia="CIDFont+F1"/>
          </w:rPr>
          <w:t>https://doi.org/10.1038/s41392-024-01953-7</w:t>
        </w:r>
      </w:hyperlink>
      <w:r w:rsidR="009C09F0">
        <w:rPr>
          <w:rFonts w:asciiTheme="majorBidi" w:hAnsiTheme="majorBidi" w:cstheme="majorBidi"/>
          <w:color w:val="000000" w:themeColor="text1"/>
        </w:rPr>
        <w:t xml:space="preserve"> </w:t>
      </w:r>
    </w:p>
    <w:p w14:paraId="07E93931"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r w:rsidRPr="009C09F0">
        <w:rPr>
          <w:rFonts w:eastAsia="CIDFont+F1"/>
          <w:color w:val="000000"/>
        </w:rPr>
        <w:lastRenderedPageBreak/>
        <w:t xml:space="preserve">Abdul-Lateef, W. T., Abdullah, E. M., &amp; </w:t>
      </w:r>
      <w:proofErr w:type="spellStart"/>
      <w:r w:rsidRPr="009C09F0">
        <w:rPr>
          <w:rFonts w:eastAsia="CIDFont+F1"/>
          <w:color w:val="000000"/>
        </w:rPr>
        <w:t>Ghadhban</w:t>
      </w:r>
      <w:proofErr w:type="spellEnd"/>
      <w:r w:rsidRPr="009C09F0">
        <w:rPr>
          <w:rFonts w:eastAsia="CIDFont+F1"/>
          <w:color w:val="000000"/>
        </w:rPr>
        <w:t xml:space="preserve">, J. M. (2021). Study the role of Helicobacter pylori infection in a group of Iraqi patients with colorectal cancer. Indian Journal of Forensic Medicine &amp; Toxicology, 15(1), 2396–2402. </w:t>
      </w:r>
      <w:hyperlink r:id="rId28" w:history="1">
        <w:r w:rsidR="009C09F0" w:rsidRPr="0000555C">
          <w:rPr>
            <w:rStyle w:val="Hyperlink"/>
            <w:rFonts w:eastAsia="CIDFont+F1"/>
          </w:rPr>
          <w:t>https://doi.org/10.37506/ijfmt.v15i1.13760</w:t>
        </w:r>
      </w:hyperlink>
      <w:r w:rsidR="009C09F0">
        <w:rPr>
          <w:rFonts w:asciiTheme="majorBidi" w:hAnsiTheme="majorBidi" w:cstheme="majorBidi"/>
          <w:color w:val="000000" w:themeColor="text1"/>
        </w:rPr>
        <w:t xml:space="preserve"> </w:t>
      </w:r>
    </w:p>
    <w:p w14:paraId="42A7B707"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proofErr w:type="spellStart"/>
      <w:r w:rsidRPr="009C09F0">
        <w:rPr>
          <w:rFonts w:eastAsia="CIDFont+F1"/>
          <w:color w:val="000000"/>
        </w:rPr>
        <w:t>Khashman</w:t>
      </w:r>
      <w:proofErr w:type="spellEnd"/>
      <w:r w:rsidRPr="009C09F0">
        <w:rPr>
          <w:rFonts w:eastAsia="CIDFont+F1"/>
          <w:color w:val="000000"/>
        </w:rPr>
        <w:t xml:space="preserve">, B. M., Karim, S. K., </w:t>
      </w:r>
      <w:proofErr w:type="spellStart"/>
      <w:r w:rsidRPr="009C09F0">
        <w:rPr>
          <w:rFonts w:eastAsia="CIDFont+F1"/>
          <w:color w:val="000000"/>
        </w:rPr>
        <w:t>Alhilli</w:t>
      </w:r>
      <w:proofErr w:type="spellEnd"/>
      <w:r w:rsidRPr="009C09F0">
        <w:rPr>
          <w:rFonts w:eastAsia="CIDFont+F1"/>
          <w:color w:val="000000"/>
        </w:rPr>
        <w:t xml:space="preserve">, H. M., &amp; Ali, M. J. (2020). Possible role of HCMV infection on the development of HPV positive cervical carcinoma in a group of Iraqi women. Biochemical and Cellular Archives, 20(1), 1549–1552. </w:t>
      </w:r>
      <w:hyperlink r:id="rId29" w:history="1">
        <w:r w:rsidR="009C09F0" w:rsidRPr="0000555C">
          <w:rPr>
            <w:rStyle w:val="Hyperlink"/>
            <w:rFonts w:eastAsia="CIDFont+F1"/>
          </w:rPr>
          <w:t>https://doi.org/10.35124/bca.2020.20.1.1549</w:t>
        </w:r>
      </w:hyperlink>
      <w:r w:rsidR="009C09F0">
        <w:rPr>
          <w:rFonts w:asciiTheme="majorBidi" w:hAnsiTheme="majorBidi" w:cstheme="majorBidi"/>
          <w:color w:val="000000" w:themeColor="text1"/>
        </w:rPr>
        <w:t xml:space="preserve"> </w:t>
      </w:r>
    </w:p>
    <w:p w14:paraId="123C1E71"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r w:rsidRPr="009C09F0">
        <w:rPr>
          <w:rFonts w:eastAsia="CIDFont+F1"/>
          <w:color w:val="000000"/>
        </w:rPr>
        <w:t xml:space="preserve">Arnold, M., Sierra, M. S., </w:t>
      </w:r>
      <w:proofErr w:type="spellStart"/>
      <w:r w:rsidRPr="009C09F0">
        <w:rPr>
          <w:rFonts w:eastAsia="CIDFont+F1"/>
          <w:color w:val="000000"/>
        </w:rPr>
        <w:t>Laversanne</w:t>
      </w:r>
      <w:proofErr w:type="spellEnd"/>
      <w:r w:rsidRPr="009C09F0">
        <w:rPr>
          <w:rFonts w:eastAsia="CIDFont+F1"/>
          <w:color w:val="000000"/>
        </w:rPr>
        <w:t xml:space="preserve">, M., </w:t>
      </w:r>
      <w:proofErr w:type="spellStart"/>
      <w:r w:rsidRPr="009C09F0">
        <w:rPr>
          <w:rFonts w:eastAsia="CIDFont+F1"/>
          <w:color w:val="000000"/>
        </w:rPr>
        <w:t>Soerjomataram</w:t>
      </w:r>
      <w:proofErr w:type="spellEnd"/>
      <w:r w:rsidRPr="009C09F0">
        <w:rPr>
          <w:rFonts w:eastAsia="CIDFont+F1"/>
          <w:color w:val="000000"/>
        </w:rPr>
        <w:t xml:space="preserve">, I., </w:t>
      </w:r>
      <w:proofErr w:type="spellStart"/>
      <w:r w:rsidRPr="009C09F0">
        <w:rPr>
          <w:rFonts w:eastAsia="CIDFont+F1"/>
          <w:color w:val="000000"/>
        </w:rPr>
        <w:t>Jemal</w:t>
      </w:r>
      <w:proofErr w:type="spellEnd"/>
      <w:r w:rsidRPr="009C09F0">
        <w:rPr>
          <w:rFonts w:eastAsia="CIDFont+F1"/>
          <w:color w:val="000000"/>
        </w:rPr>
        <w:t xml:space="preserve">, A., &amp; Bray, F. (2017). Global patterns and trends in colorectal cancer incidence and mortality. Gut, 66(4), 683–691. </w:t>
      </w:r>
      <w:hyperlink r:id="rId30" w:history="1">
        <w:r w:rsidR="009C09F0" w:rsidRPr="0000555C">
          <w:rPr>
            <w:rStyle w:val="Hyperlink"/>
            <w:rFonts w:eastAsia="CIDFont+F1"/>
          </w:rPr>
          <w:t>https://doi.org/10.1136/gutjnl-2015-310912</w:t>
        </w:r>
      </w:hyperlink>
      <w:r w:rsidR="009C09F0">
        <w:rPr>
          <w:rFonts w:asciiTheme="majorBidi" w:hAnsiTheme="majorBidi" w:cstheme="majorBidi"/>
          <w:color w:val="000000" w:themeColor="text1"/>
        </w:rPr>
        <w:t xml:space="preserve"> </w:t>
      </w:r>
    </w:p>
    <w:p w14:paraId="185ADAEC"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proofErr w:type="spellStart"/>
      <w:r w:rsidRPr="009C09F0">
        <w:rPr>
          <w:rFonts w:eastAsia="CIDFont+F1"/>
          <w:color w:val="000000"/>
        </w:rPr>
        <w:t>Ladeiras</w:t>
      </w:r>
      <w:proofErr w:type="spellEnd"/>
      <w:r w:rsidRPr="009C09F0">
        <w:rPr>
          <w:rFonts w:eastAsia="CIDFont+F1"/>
          <w:color w:val="000000"/>
        </w:rPr>
        <w:t xml:space="preserve">-Lopes, R., Pereira, A. K., </w:t>
      </w:r>
      <w:proofErr w:type="spellStart"/>
      <w:r w:rsidRPr="009C09F0">
        <w:rPr>
          <w:rFonts w:eastAsia="CIDFont+F1"/>
          <w:color w:val="000000"/>
        </w:rPr>
        <w:t>Nogueira</w:t>
      </w:r>
      <w:proofErr w:type="spellEnd"/>
      <w:r w:rsidRPr="009C09F0">
        <w:rPr>
          <w:rFonts w:eastAsia="CIDFont+F1"/>
          <w:color w:val="000000"/>
        </w:rPr>
        <w:t xml:space="preserve">, A., </w:t>
      </w:r>
      <w:proofErr w:type="spellStart"/>
      <w:r w:rsidRPr="009C09F0">
        <w:rPr>
          <w:rFonts w:eastAsia="CIDFont+F1"/>
          <w:color w:val="000000"/>
        </w:rPr>
        <w:t>Pinheiro</w:t>
      </w:r>
      <w:proofErr w:type="spellEnd"/>
      <w:r w:rsidRPr="009C09F0">
        <w:rPr>
          <w:rFonts w:eastAsia="CIDFont+F1"/>
          <w:color w:val="000000"/>
        </w:rPr>
        <w:t xml:space="preserve">-Torres, T., Pinto, I., Santos-Pereira, R., &amp; </w:t>
      </w:r>
      <w:proofErr w:type="spellStart"/>
      <w:r w:rsidRPr="009C09F0">
        <w:rPr>
          <w:rFonts w:eastAsia="CIDFont+F1"/>
          <w:color w:val="000000"/>
        </w:rPr>
        <w:t>Lunet</w:t>
      </w:r>
      <w:proofErr w:type="spellEnd"/>
      <w:r w:rsidRPr="009C09F0">
        <w:rPr>
          <w:rFonts w:eastAsia="CIDFont+F1"/>
          <w:color w:val="000000"/>
        </w:rPr>
        <w:t xml:space="preserve">, N. (2008). Smoking and gastric cancer: Systematic review and meta-analysis of cohort studies. Cancer Causes &amp; Control, 19(7), 689–701. </w:t>
      </w:r>
      <w:hyperlink r:id="rId31" w:history="1">
        <w:r w:rsidR="009C09F0" w:rsidRPr="0000555C">
          <w:rPr>
            <w:rStyle w:val="Hyperlink"/>
            <w:rFonts w:eastAsia="CIDFont+F1"/>
          </w:rPr>
          <w:t>https://doi.org/10.1007/s10552-008-9132-y</w:t>
        </w:r>
      </w:hyperlink>
      <w:r w:rsidR="009C09F0">
        <w:rPr>
          <w:rFonts w:asciiTheme="majorBidi" w:hAnsiTheme="majorBidi" w:cstheme="majorBidi"/>
          <w:color w:val="000000" w:themeColor="text1"/>
        </w:rPr>
        <w:t xml:space="preserve"> </w:t>
      </w:r>
    </w:p>
    <w:p w14:paraId="0EAD8CA4"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proofErr w:type="spellStart"/>
      <w:r w:rsidRPr="009C09F0">
        <w:rPr>
          <w:rFonts w:eastAsia="CIDFont+F1"/>
          <w:color w:val="000000"/>
        </w:rPr>
        <w:t>Kuipers</w:t>
      </w:r>
      <w:proofErr w:type="spellEnd"/>
      <w:r w:rsidRPr="009C09F0">
        <w:rPr>
          <w:rFonts w:eastAsia="CIDFont+F1"/>
          <w:color w:val="000000"/>
        </w:rPr>
        <w:t xml:space="preserve">, E. J., Grady, W. M., Lieberman, D., </w:t>
      </w:r>
      <w:proofErr w:type="spellStart"/>
      <w:r w:rsidRPr="009C09F0">
        <w:rPr>
          <w:rFonts w:eastAsia="CIDFont+F1"/>
          <w:color w:val="000000"/>
        </w:rPr>
        <w:t>Seufferlein</w:t>
      </w:r>
      <w:proofErr w:type="spellEnd"/>
      <w:r w:rsidRPr="009C09F0">
        <w:rPr>
          <w:rFonts w:eastAsia="CIDFont+F1"/>
          <w:color w:val="000000"/>
        </w:rPr>
        <w:t xml:space="preserve">, T., Sung, J. J., </w:t>
      </w:r>
      <w:proofErr w:type="spellStart"/>
      <w:r w:rsidRPr="009C09F0">
        <w:rPr>
          <w:rFonts w:eastAsia="CIDFont+F1"/>
          <w:color w:val="000000"/>
        </w:rPr>
        <w:t>Boelens</w:t>
      </w:r>
      <w:proofErr w:type="spellEnd"/>
      <w:r w:rsidRPr="009C09F0">
        <w:rPr>
          <w:rFonts w:eastAsia="CIDFont+F1"/>
          <w:color w:val="000000"/>
        </w:rPr>
        <w:t xml:space="preserve">, P. G., ... &amp; Watanabe, T. (2015). Colorectal cancer. Nature Reviews Disease Primers, 1, 15065. </w:t>
      </w:r>
      <w:hyperlink r:id="rId32" w:history="1">
        <w:r w:rsidR="009C09F0" w:rsidRPr="0000555C">
          <w:rPr>
            <w:rStyle w:val="Hyperlink"/>
            <w:rFonts w:eastAsia="CIDFont+F1"/>
          </w:rPr>
          <w:t>https://doi.org/10.1038/nrdp.2015.65</w:t>
        </w:r>
      </w:hyperlink>
      <w:r w:rsidR="009C09F0">
        <w:rPr>
          <w:rFonts w:asciiTheme="majorBidi" w:hAnsiTheme="majorBidi" w:cstheme="majorBidi"/>
          <w:color w:val="000000" w:themeColor="text1"/>
        </w:rPr>
        <w:t xml:space="preserve"> </w:t>
      </w:r>
    </w:p>
    <w:p w14:paraId="41C378B3"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r w:rsidRPr="009C09F0">
        <w:rPr>
          <w:rFonts w:eastAsia="CIDFont+F1"/>
          <w:color w:val="000000"/>
        </w:rPr>
        <w:t xml:space="preserve">Brenner, H., </w:t>
      </w:r>
      <w:proofErr w:type="spellStart"/>
      <w:r w:rsidRPr="009C09F0">
        <w:rPr>
          <w:rFonts w:eastAsia="CIDFont+F1"/>
          <w:color w:val="000000"/>
        </w:rPr>
        <w:t>Kloor</w:t>
      </w:r>
      <w:proofErr w:type="spellEnd"/>
      <w:r w:rsidRPr="009C09F0">
        <w:rPr>
          <w:rFonts w:eastAsia="CIDFont+F1"/>
          <w:color w:val="000000"/>
        </w:rPr>
        <w:t xml:space="preserve">, M., &amp; Pox, C. P. (2014). Colorectal cancer. The Lancet, 383(9927), 1490–1502. </w:t>
      </w:r>
      <w:hyperlink r:id="rId33" w:history="1">
        <w:r w:rsidR="009C09F0" w:rsidRPr="0000555C">
          <w:rPr>
            <w:rStyle w:val="Hyperlink"/>
            <w:rFonts w:eastAsia="CIDFont+F1"/>
          </w:rPr>
          <w:t>https://doi.org/10.1016/S0140-6736(13)61649-9</w:t>
        </w:r>
      </w:hyperlink>
      <w:r w:rsidR="009C09F0">
        <w:rPr>
          <w:rFonts w:asciiTheme="majorBidi" w:hAnsiTheme="majorBidi" w:cstheme="majorBidi"/>
          <w:color w:val="000000" w:themeColor="text1"/>
        </w:rPr>
        <w:t xml:space="preserve"> </w:t>
      </w:r>
    </w:p>
    <w:p w14:paraId="1D774C65"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r w:rsidRPr="009C09F0">
        <w:rPr>
          <w:rFonts w:eastAsia="CIDFont+F1"/>
          <w:color w:val="000000"/>
        </w:rPr>
        <w:t xml:space="preserve">Chen, Y., &amp; </w:t>
      </w:r>
      <w:proofErr w:type="spellStart"/>
      <w:r w:rsidRPr="009C09F0">
        <w:rPr>
          <w:rFonts w:eastAsia="CIDFont+F1"/>
          <w:color w:val="000000"/>
        </w:rPr>
        <w:t>Blaser</w:t>
      </w:r>
      <w:proofErr w:type="spellEnd"/>
      <w:r w:rsidRPr="009C09F0">
        <w:rPr>
          <w:rFonts w:eastAsia="CIDFont+F1"/>
          <w:color w:val="000000"/>
        </w:rPr>
        <w:t xml:space="preserve">, M. J. (2012). Association between gastric Helicobacter pylori colonization and glycated hemoglobin levels. Journal of Infectious Diseases, 205(8), 1195–1202. </w:t>
      </w:r>
      <w:hyperlink r:id="rId34" w:history="1">
        <w:r w:rsidR="009C09F0" w:rsidRPr="0000555C">
          <w:rPr>
            <w:rStyle w:val="Hyperlink"/>
            <w:rFonts w:eastAsia="CIDFont+F1"/>
          </w:rPr>
          <w:t>https://doi.org/10.1093/infdis/jis106</w:t>
        </w:r>
      </w:hyperlink>
      <w:r w:rsidR="009C09F0">
        <w:rPr>
          <w:rFonts w:asciiTheme="majorBidi" w:hAnsiTheme="majorBidi" w:cstheme="majorBidi"/>
          <w:color w:val="000000" w:themeColor="text1"/>
        </w:rPr>
        <w:t xml:space="preserve"> </w:t>
      </w:r>
    </w:p>
    <w:p w14:paraId="732EB9DC"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proofErr w:type="spellStart"/>
      <w:r w:rsidRPr="009C09F0">
        <w:rPr>
          <w:rFonts w:eastAsia="CIDFont+F1"/>
          <w:color w:val="000000"/>
        </w:rPr>
        <w:t>Itzkowitz</w:t>
      </w:r>
      <w:proofErr w:type="spellEnd"/>
      <w:r w:rsidRPr="009C09F0">
        <w:rPr>
          <w:rFonts w:eastAsia="CIDFont+F1"/>
          <w:color w:val="000000"/>
        </w:rPr>
        <w:t xml:space="preserve">, S. H., &amp; </w:t>
      </w:r>
      <w:proofErr w:type="spellStart"/>
      <w:r w:rsidRPr="009C09F0">
        <w:rPr>
          <w:rFonts w:eastAsia="CIDFont+F1"/>
          <w:color w:val="000000"/>
        </w:rPr>
        <w:t>Yio</w:t>
      </w:r>
      <w:proofErr w:type="spellEnd"/>
      <w:r w:rsidRPr="009C09F0">
        <w:rPr>
          <w:rFonts w:eastAsia="CIDFont+F1"/>
          <w:color w:val="000000"/>
        </w:rPr>
        <w:t xml:space="preserve">, X. (2004). Inflammation and cancer IV. Colorectal cancer in inflammatory bowel disease: The role of inflammation. American Journal of Physiology-Gastrointestinal and Liver Physiology, 287(1), G7–G17. </w:t>
      </w:r>
      <w:hyperlink r:id="rId35" w:history="1">
        <w:r w:rsidR="009C09F0" w:rsidRPr="0000555C">
          <w:rPr>
            <w:rStyle w:val="Hyperlink"/>
            <w:rFonts w:eastAsia="CIDFont+F1"/>
          </w:rPr>
          <w:t>https://doi.org/10.1152/ajpgi.00079.2004</w:t>
        </w:r>
      </w:hyperlink>
      <w:r w:rsidR="009C09F0">
        <w:rPr>
          <w:rFonts w:asciiTheme="majorBidi" w:hAnsiTheme="majorBidi" w:cstheme="majorBidi"/>
          <w:color w:val="000000" w:themeColor="text1"/>
        </w:rPr>
        <w:t xml:space="preserve"> </w:t>
      </w:r>
    </w:p>
    <w:p w14:paraId="7EC1EE84"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proofErr w:type="spellStart"/>
      <w:r w:rsidRPr="009C09F0">
        <w:rPr>
          <w:rFonts w:eastAsia="CIDFont+F1"/>
          <w:color w:val="000000"/>
        </w:rPr>
        <w:t>Jass</w:t>
      </w:r>
      <w:proofErr w:type="spellEnd"/>
      <w:r w:rsidRPr="009C09F0">
        <w:rPr>
          <w:rFonts w:eastAsia="CIDFont+F1"/>
          <w:color w:val="000000"/>
        </w:rPr>
        <w:t xml:space="preserve">, J. R., Whitehall, V. L. J., Young, J., &amp; Leggett, B. A. (2002). Emerging concepts in colorectal neoplasia. Gastroenterology, 123(3), 862–876. </w:t>
      </w:r>
      <w:hyperlink r:id="rId36" w:history="1">
        <w:r w:rsidR="009C09F0" w:rsidRPr="0000555C">
          <w:rPr>
            <w:rStyle w:val="Hyperlink"/>
            <w:rFonts w:eastAsia="CIDFont+F1"/>
          </w:rPr>
          <w:t>https://doi.org/10.1053/gast.2002.35392</w:t>
        </w:r>
      </w:hyperlink>
      <w:r w:rsidR="009C09F0">
        <w:rPr>
          <w:rFonts w:asciiTheme="majorBidi" w:hAnsiTheme="majorBidi" w:cstheme="majorBidi"/>
          <w:color w:val="000000" w:themeColor="text1"/>
        </w:rPr>
        <w:t xml:space="preserve"> </w:t>
      </w:r>
    </w:p>
    <w:p w14:paraId="034F5D1C"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r w:rsidRPr="009C09F0">
        <w:rPr>
          <w:rFonts w:eastAsia="CIDFont+F1"/>
          <w:color w:val="000000"/>
        </w:rPr>
        <w:t xml:space="preserve">Graham, D. Y., &amp; </w:t>
      </w:r>
      <w:proofErr w:type="spellStart"/>
      <w:r w:rsidRPr="009C09F0">
        <w:rPr>
          <w:rFonts w:eastAsia="CIDFont+F1"/>
          <w:color w:val="000000"/>
        </w:rPr>
        <w:t>Miftahussurur</w:t>
      </w:r>
      <w:proofErr w:type="spellEnd"/>
      <w:r w:rsidRPr="009C09F0">
        <w:rPr>
          <w:rFonts w:eastAsia="CIDFont+F1"/>
          <w:color w:val="000000"/>
        </w:rPr>
        <w:t xml:space="preserve">, M. (2018). Helicobacter pylori urease for diagnosis of Helicobacter pylori infection: A mini review. Journal of Advanced Research, 13, 51–57. </w:t>
      </w:r>
      <w:hyperlink r:id="rId37" w:history="1">
        <w:r w:rsidR="009C09F0" w:rsidRPr="0000555C">
          <w:rPr>
            <w:rStyle w:val="Hyperlink"/>
            <w:rFonts w:eastAsia="CIDFont+F1"/>
          </w:rPr>
          <w:t>https://doi.org/10.1016/j.jare.2018.01.006</w:t>
        </w:r>
      </w:hyperlink>
      <w:r w:rsidR="009C09F0">
        <w:rPr>
          <w:rFonts w:asciiTheme="majorBidi" w:hAnsiTheme="majorBidi" w:cstheme="majorBidi"/>
          <w:color w:val="000000" w:themeColor="text1"/>
        </w:rPr>
        <w:t xml:space="preserve"> </w:t>
      </w:r>
    </w:p>
    <w:p w14:paraId="3A721B66"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proofErr w:type="spellStart"/>
      <w:r w:rsidRPr="009C09F0">
        <w:rPr>
          <w:rFonts w:eastAsia="CIDFont+F1"/>
          <w:color w:val="000000"/>
        </w:rPr>
        <w:t>Demiray</w:t>
      </w:r>
      <w:proofErr w:type="spellEnd"/>
      <w:r w:rsidRPr="009C09F0">
        <w:rPr>
          <w:rFonts w:eastAsia="CIDFont+F1"/>
          <w:color w:val="000000"/>
        </w:rPr>
        <w:t xml:space="preserve">, E., Yilmaz, O., </w:t>
      </w:r>
      <w:proofErr w:type="spellStart"/>
      <w:r w:rsidRPr="009C09F0">
        <w:rPr>
          <w:rFonts w:eastAsia="CIDFont+F1"/>
          <w:color w:val="000000"/>
        </w:rPr>
        <w:t>Sarkis</w:t>
      </w:r>
      <w:proofErr w:type="spellEnd"/>
      <w:r w:rsidRPr="009C09F0">
        <w:rPr>
          <w:rFonts w:eastAsia="CIDFont+F1"/>
          <w:color w:val="000000"/>
        </w:rPr>
        <w:t xml:space="preserve">, C., </w:t>
      </w:r>
      <w:proofErr w:type="spellStart"/>
      <w:r w:rsidRPr="009C09F0">
        <w:rPr>
          <w:rFonts w:eastAsia="CIDFont+F1"/>
          <w:color w:val="000000"/>
        </w:rPr>
        <w:t>Soyturk</w:t>
      </w:r>
      <w:proofErr w:type="spellEnd"/>
      <w:r w:rsidRPr="009C09F0">
        <w:rPr>
          <w:rFonts w:eastAsia="CIDFont+F1"/>
          <w:color w:val="000000"/>
        </w:rPr>
        <w:t xml:space="preserve">, M., &amp; </w:t>
      </w:r>
      <w:proofErr w:type="spellStart"/>
      <w:r w:rsidRPr="009C09F0">
        <w:rPr>
          <w:rFonts w:eastAsia="CIDFont+F1"/>
          <w:color w:val="000000"/>
        </w:rPr>
        <w:t>Simsek</w:t>
      </w:r>
      <w:proofErr w:type="spellEnd"/>
      <w:r w:rsidRPr="009C09F0">
        <w:rPr>
          <w:rFonts w:eastAsia="CIDFont+F1"/>
          <w:color w:val="000000"/>
        </w:rPr>
        <w:t xml:space="preserve">, I. (2006). Comparison of invasive methods and two different stool antigen tests for diagnosis of H. pylori infection in patients with gastric bleeding. World Journal of Gastroenterology, 12(26), 4206–4210. </w:t>
      </w:r>
      <w:hyperlink r:id="rId38" w:history="1">
        <w:r w:rsidR="009C09F0" w:rsidRPr="0000555C">
          <w:rPr>
            <w:rStyle w:val="Hyperlink"/>
            <w:rFonts w:eastAsia="CIDFont+F1"/>
          </w:rPr>
          <w:t>https://doi.org/10.3748/wjg.v12.i26.4206</w:t>
        </w:r>
      </w:hyperlink>
      <w:r w:rsidR="009C09F0">
        <w:rPr>
          <w:rFonts w:asciiTheme="majorBidi" w:hAnsiTheme="majorBidi" w:cstheme="majorBidi"/>
          <w:color w:val="000000" w:themeColor="text1"/>
        </w:rPr>
        <w:t xml:space="preserve"> </w:t>
      </w:r>
    </w:p>
    <w:p w14:paraId="4213410F"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r w:rsidRPr="009C09F0">
        <w:rPr>
          <w:rFonts w:eastAsia="CIDFont+F1"/>
          <w:color w:val="000000"/>
        </w:rPr>
        <w:t xml:space="preserve">Polk, D. B., &amp; Peek, R. M. J. (2010). Helicobacter pylori: Gastric cancer and beyond. Nature Reviews Cancer, 10(6), 403–414. </w:t>
      </w:r>
      <w:hyperlink r:id="rId39" w:history="1">
        <w:r w:rsidR="009C09F0" w:rsidRPr="0000555C">
          <w:rPr>
            <w:rStyle w:val="Hyperlink"/>
            <w:rFonts w:eastAsia="CIDFont+F1"/>
          </w:rPr>
          <w:t>https://doi.org/10.1038/nrc2857</w:t>
        </w:r>
      </w:hyperlink>
      <w:r w:rsidR="009C09F0">
        <w:rPr>
          <w:rFonts w:asciiTheme="majorBidi" w:hAnsiTheme="majorBidi" w:cstheme="majorBidi"/>
          <w:color w:val="000000" w:themeColor="text1"/>
        </w:rPr>
        <w:t xml:space="preserve"> </w:t>
      </w:r>
    </w:p>
    <w:p w14:paraId="30374D8A" w14:textId="77777777" w:rsid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proofErr w:type="spellStart"/>
      <w:r w:rsidRPr="009C09F0">
        <w:rPr>
          <w:rFonts w:eastAsia="CIDFont+F1"/>
          <w:color w:val="000000"/>
        </w:rPr>
        <w:t>Uemura</w:t>
      </w:r>
      <w:proofErr w:type="spellEnd"/>
      <w:r w:rsidRPr="009C09F0">
        <w:rPr>
          <w:rFonts w:eastAsia="CIDFont+F1"/>
          <w:color w:val="000000"/>
        </w:rPr>
        <w:t xml:space="preserve">, N., Okamoto, S., Yamamoto, S., Matsumura, N., Yamaguchi, S., </w:t>
      </w:r>
      <w:proofErr w:type="spellStart"/>
      <w:r w:rsidRPr="009C09F0">
        <w:rPr>
          <w:rFonts w:eastAsia="CIDFont+F1"/>
          <w:color w:val="000000"/>
        </w:rPr>
        <w:t>Yamakido</w:t>
      </w:r>
      <w:proofErr w:type="spellEnd"/>
      <w:r w:rsidRPr="009C09F0">
        <w:rPr>
          <w:rFonts w:eastAsia="CIDFont+F1"/>
          <w:color w:val="000000"/>
        </w:rPr>
        <w:t>, M</w:t>
      </w:r>
      <w:proofErr w:type="gramStart"/>
      <w:r w:rsidRPr="009C09F0">
        <w:rPr>
          <w:rFonts w:eastAsia="CIDFont+F1"/>
          <w:color w:val="000000"/>
        </w:rPr>
        <w:t>., ...</w:t>
      </w:r>
      <w:proofErr w:type="gramEnd"/>
      <w:r w:rsidRPr="009C09F0">
        <w:rPr>
          <w:rFonts w:eastAsia="CIDFont+F1"/>
          <w:color w:val="000000"/>
        </w:rPr>
        <w:t xml:space="preserve"> &amp; </w:t>
      </w:r>
      <w:proofErr w:type="spellStart"/>
      <w:r w:rsidRPr="009C09F0">
        <w:rPr>
          <w:rFonts w:eastAsia="CIDFont+F1"/>
          <w:color w:val="000000"/>
        </w:rPr>
        <w:t>Taniyama</w:t>
      </w:r>
      <w:proofErr w:type="spellEnd"/>
      <w:r w:rsidRPr="009C09F0">
        <w:rPr>
          <w:rFonts w:eastAsia="CIDFont+F1"/>
          <w:color w:val="000000"/>
        </w:rPr>
        <w:t xml:space="preserve">, K. (2001). Helicobacter pylori infection and the development of gastric cancer. The New England Journal of Medicine, 345(11), 784–789. </w:t>
      </w:r>
      <w:hyperlink r:id="rId40" w:history="1">
        <w:r w:rsidR="009C09F0" w:rsidRPr="0000555C">
          <w:rPr>
            <w:rStyle w:val="Hyperlink"/>
            <w:rFonts w:eastAsia="CIDFont+F1"/>
          </w:rPr>
          <w:t>https://doi.org/10.1056/NEJMoa001999</w:t>
        </w:r>
      </w:hyperlink>
      <w:r w:rsidR="009C09F0">
        <w:rPr>
          <w:rFonts w:asciiTheme="majorBidi" w:hAnsiTheme="majorBidi" w:cstheme="majorBidi"/>
          <w:color w:val="000000" w:themeColor="text1"/>
        </w:rPr>
        <w:t xml:space="preserve"> </w:t>
      </w:r>
    </w:p>
    <w:p w14:paraId="7FACC499" w14:textId="77A255AD" w:rsidR="006458BE" w:rsidRPr="009C09F0" w:rsidRDefault="0065793B" w:rsidP="00441FC8">
      <w:pPr>
        <w:numPr>
          <w:ilvl w:val="0"/>
          <w:numId w:val="2"/>
        </w:numPr>
        <w:autoSpaceDE w:val="0"/>
        <w:autoSpaceDN w:val="0"/>
        <w:adjustRightInd w:val="0"/>
        <w:spacing w:before="200" w:after="200" w:line="276" w:lineRule="auto"/>
        <w:ind w:left="426" w:hanging="426"/>
        <w:jc w:val="both"/>
        <w:rPr>
          <w:rFonts w:asciiTheme="majorBidi" w:hAnsiTheme="majorBidi" w:cstheme="majorBidi"/>
          <w:color w:val="000000" w:themeColor="text1"/>
        </w:rPr>
      </w:pPr>
      <w:proofErr w:type="spellStart"/>
      <w:r w:rsidRPr="009C09F0">
        <w:rPr>
          <w:rFonts w:eastAsia="CIDFont+F1"/>
          <w:color w:val="000000"/>
        </w:rPr>
        <w:t>Noone</w:t>
      </w:r>
      <w:proofErr w:type="spellEnd"/>
      <w:r w:rsidRPr="009C09F0">
        <w:rPr>
          <w:rFonts w:eastAsia="CIDFont+F1"/>
          <w:color w:val="000000"/>
        </w:rPr>
        <w:t xml:space="preserve">, A. M., </w:t>
      </w:r>
      <w:proofErr w:type="spellStart"/>
      <w:r w:rsidRPr="009C09F0">
        <w:rPr>
          <w:rFonts w:eastAsia="CIDFont+F1"/>
          <w:color w:val="000000"/>
        </w:rPr>
        <w:t>Howlader</w:t>
      </w:r>
      <w:proofErr w:type="spellEnd"/>
      <w:r w:rsidRPr="009C09F0">
        <w:rPr>
          <w:rFonts w:eastAsia="CIDFont+F1"/>
          <w:color w:val="000000"/>
        </w:rPr>
        <w:t xml:space="preserve">, N., </w:t>
      </w:r>
      <w:proofErr w:type="spellStart"/>
      <w:r w:rsidRPr="009C09F0">
        <w:rPr>
          <w:rFonts w:eastAsia="CIDFont+F1"/>
          <w:color w:val="000000"/>
        </w:rPr>
        <w:t>Krapcho</w:t>
      </w:r>
      <w:proofErr w:type="spellEnd"/>
      <w:r w:rsidRPr="009C09F0">
        <w:rPr>
          <w:rFonts w:eastAsia="CIDFont+F1"/>
          <w:color w:val="000000"/>
        </w:rPr>
        <w:t xml:space="preserve">, M., et al. (2018). SEER Cancer Statistics Review, 1975–2017. National Cancer Institute. Based on the November 2017 SEER data submission. </w:t>
      </w:r>
      <w:hyperlink r:id="rId41" w:history="1">
        <w:r w:rsidR="009C09F0" w:rsidRPr="0000555C">
          <w:rPr>
            <w:rStyle w:val="Hyperlink"/>
            <w:rFonts w:eastAsia="CIDFont+F1"/>
          </w:rPr>
          <w:t>https://seer.cancer.gov/csr/1975_2017/</w:t>
        </w:r>
      </w:hyperlink>
      <w:r w:rsidR="009C09F0">
        <w:rPr>
          <w:rFonts w:eastAsia="CIDFont+F1"/>
          <w:color w:val="000000"/>
        </w:rPr>
        <w:t xml:space="preserve"> </w:t>
      </w:r>
    </w:p>
    <w:p w14:paraId="29BDCF8D" w14:textId="77777777" w:rsidR="009C09F0" w:rsidRDefault="009C09F0" w:rsidP="00441FC8">
      <w:pPr>
        <w:autoSpaceDE w:val="0"/>
        <w:autoSpaceDN w:val="0"/>
        <w:bidi/>
        <w:adjustRightInd w:val="0"/>
        <w:spacing w:before="200" w:after="200" w:line="276" w:lineRule="auto"/>
        <w:jc w:val="right"/>
        <w:rPr>
          <w:rFonts w:asciiTheme="majorBidi" w:hAnsiTheme="majorBidi" w:cstheme="majorBidi"/>
          <w:color w:val="000000" w:themeColor="text1"/>
        </w:rPr>
      </w:pPr>
    </w:p>
    <w:p w14:paraId="6293C34B" w14:textId="77777777" w:rsidR="00441FC8" w:rsidRDefault="00441FC8" w:rsidP="00441FC8">
      <w:pPr>
        <w:autoSpaceDE w:val="0"/>
        <w:autoSpaceDN w:val="0"/>
        <w:bidi/>
        <w:adjustRightInd w:val="0"/>
        <w:spacing w:before="200" w:after="200" w:line="276" w:lineRule="auto"/>
        <w:jc w:val="right"/>
        <w:rPr>
          <w:rFonts w:asciiTheme="majorBidi" w:hAnsiTheme="majorBidi" w:cstheme="majorBidi"/>
          <w:color w:val="000000" w:themeColor="text1"/>
        </w:rPr>
      </w:pPr>
    </w:p>
    <w:p w14:paraId="59B80CCE" w14:textId="77777777" w:rsidR="00441FC8" w:rsidRDefault="00441FC8" w:rsidP="00441FC8">
      <w:pPr>
        <w:autoSpaceDE w:val="0"/>
        <w:autoSpaceDN w:val="0"/>
        <w:bidi/>
        <w:adjustRightInd w:val="0"/>
        <w:spacing w:before="200" w:after="200" w:line="276" w:lineRule="auto"/>
        <w:jc w:val="right"/>
        <w:rPr>
          <w:rFonts w:asciiTheme="majorBidi" w:hAnsiTheme="majorBidi" w:cstheme="majorBidi"/>
          <w:color w:val="000000" w:themeColor="text1"/>
        </w:rPr>
      </w:pPr>
    </w:p>
    <w:p w14:paraId="1B5A6E97" w14:textId="77777777" w:rsidR="00141771" w:rsidRPr="00141771" w:rsidRDefault="00141771" w:rsidP="00141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jc w:val="center"/>
        <w:rPr>
          <w:rFonts w:asciiTheme="majorBidi" w:hAnsiTheme="majorBidi" w:cstheme="majorBidi"/>
          <w:b/>
          <w:bCs/>
          <w:color w:val="1F1F1F"/>
          <w:sz w:val="32"/>
          <w:szCs w:val="32"/>
        </w:rPr>
      </w:pPr>
      <w:r w:rsidRPr="00141771">
        <w:rPr>
          <w:rFonts w:asciiTheme="majorBidi" w:hAnsiTheme="majorBidi" w:cstheme="majorBidi"/>
          <w:b/>
          <w:bCs/>
          <w:color w:val="1F1F1F"/>
          <w:sz w:val="32"/>
          <w:szCs w:val="32"/>
          <w:rtl/>
          <w:lang w:bidi="ar"/>
        </w:rPr>
        <w:t>التأثير المحتمل لعدوى الجرثومة الملوية البوابية على تطور سرطان القولون والمستقيم.</w:t>
      </w:r>
    </w:p>
    <w:p w14:paraId="6689E055" w14:textId="77777777" w:rsidR="00042804" w:rsidRDefault="00042804" w:rsidP="00042804">
      <w:pPr>
        <w:autoSpaceDE w:val="0"/>
        <w:autoSpaceDN w:val="0"/>
        <w:bidi/>
        <w:adjustRightInd w:val="0"/>
        <w:spacing w:before="200" w:after="200" w:line="276" w:lineRule="auto"/>
        <w:rPr>
          <w:rFonts w:asciiTheme="majorBidi" w:hAnsiTheme="majorBidi" w:cstheme="majorBidi"/>
          <w:color w:val="000000" w:themeColor="text1"/>
          <w:rtl/>
        </w:rPr>
      </w:pPr>
    </w:p>
    <w:p w14:paraId="13941806" w14:textId="15D6CCE2" w:rsidR="00141771" w:rsidRPr="00141771" w:rsidRDefault="00141771" w:rsidP="00141771">
      <w:pPr>
        <w:autoSpaceDE w:val="0"/>
        <w:autoSpaceDN w:val="0"/>
        <w:bidi/>
        <w:adjustRightInd w:val="0"/>
        <w:spacing w:before="200" w:after="200" w:line="276" w:lineRule="auto"/>
        <w:rPr>
          <w:rFonts w:asciiTheme="majorBidi" w:hAnsiTheme="majorBidi" w:cstheme="majorBidi"/>
          <w:b/>
          <w:bCs/>
          <w:color w:val="000000" w:themeColor="text1"/>
          <w:sz w:val="28"/>
          <w:szCs w:val="28"/>
        </w:rPr>
      </w:pPr>
      <w:r w:rsidRPr="00141771">
        <w:rPr>
          <w:rFonts w:asciiTheme="majorBidi" w:hAnsiTheme="majorBidi" w:cstheme="majorBidi" w:hint="cs"/>
          <w:b/>
          <w:bCs/>
          <w:color w:val="000000" w:themeColor="text1"/>
          <w:sz w:val="28"/>
          <w:szCs w:val="28"/>
          <w:rtl/>
        </w:rPr>
        <w:t>ال</w:t>
      </w:r>
      <w:r>
        <w:rPr>
          <w:rFonts w:asciiTheme="majorBidi" w:hAnsiTheme="majorBidi" w:cstheme="majorBidi" w:hint="cs"/>
          <w:b/>
          <w:bCs/>
          <w:color w:val="000000" w:themeColor="text1"/>
          <w:sz w:val="28"/>
          <w:szCs w:val="28"/>
          <w:rtl/>
        </w:rPr>
        <w:t>ـ</w:t>
      </w:r>
      <w:r w:rsidRPr="00141771">
        <w:rPr>
          <w:rFonts w:asciiTheme="majorBidi" w:hAnsiTheme="majorBidi" w:cstheme="majorBidi" w:hint="cs"/>
          <w:b/>
          <w:bCs/>
          <w:color w:val="000000" w:themeColor="text1"/>
          <w:sz w:val="28"/>
          <w:szCs w:val="28"/>
          <w:rtl/>
        </w:rPr>
        <w:t>خ</w:t>
      </w:r>
      <w:r>
        <w:rPr>
          <w:rFonts w:asciiTheme="majorBidi" w:hAnsiTheme="majorBidi" w:cstheme="majorBidi" w:hint="cs"/>
          <w:b/>
          <w:bCs/>
          <w:color w:val="000000" w:themeColor="text1"/>
          <w:sz w:val="28"/>
          <w:szCs w:val="28"/>
          <w:rtl/>
        </w:rPr>
        <w:t>ـ</w:t>
      </w:r>
      <w:r w:rsidRPr="00141771">
        <w:rPr>
          <w:rFonts w:asciiTheme="majorBidi" w:hAnsiTheme="majorBidi" w:cstheme="majorBidi" w:hint="cs"/>
          <w:b/>
          <w:bCs/>
          <w:color w:val="000000" w:themeColor="text1"/>
          <w:sz w:val="28"/>
          <w:szCs w:val="28"/>
          <w:rtl/>
        </w:rPr>
        <w:t>لاص</w:t>
      </w:r>
      <w:r>
        <w:rPr>
          <w:rFonts w:asciiTheme="majorBidi" w:hAnsiTheme="majorBidi" w:cstheme="majorBidi" w:hint="cs"/>
          <w:b/>
          <w:bCs/>
          <w:color w:val="000000" w:themeColor="text1"/>
          <w:sz w:val="28"/>
          <w:szCs w:val="28"/>
          <w:rtl/>
        </w:rPr>
        <w:t>ـ</w:t>
      </w:r>
      <w:r w:rsidRPr="00141771">
        <w:rPr>
          <w:rFonts w:asciiTheme="majorBidi" w:hAnsiTheme="majorBidi" w:cstheme="majorBidi" w:hint="cs"/>
          <w:b/>
          <w:bCs/>
          <w:color w:val="000000" w:themeColor="text1"/>
          <w:sz w:val="28"/>
          <w:szCs w:val="28"/>
          <w:rtl/>
        </w:rPr>
        <w:t xml:space="preserve">ة </w:t>
      </w:r>
    </w:p>
    <w:p w14:paraId="5270040E" w14:textId="77777777" w:rsidR="00042804" w:rsidRDefault="00042804" w:rsidP="00042804">
      <w:pPr>
        <w:autoSpaceDE w:val="0"/>
        <w:autoSpaceDN w:val="0"/>
        <w:bidi/>
        <w:adjustRightInd w:val="0"/>
        <w:spacing w:before="200" w:after="200" w:line="276" w:lineRule="auto"/>
        <w:rPr>
          <w:rFonts w:asciiTheme="majorBidi" w:hAnsiTheme="majorBidi" w:cstheme="majorBidi"/>
          <w:color w:val="000000" w:themeColor="text1"/>
        </w:rPr>
      </w:pPr>
    </w:p>
    <w:p w14:paraId="43F3C374" w14:textId="1B38684E" w:rsidR="00A52EF5" w:rsidRDefault="00141771" w:rsidP="00A52EF5">
      <w:pPr>
        <w:autoSpaceDE w:val="0"/>
        <w:autoSpaceDN w:val="0"/>
        <w:bidi/>
        <w:adjustRightInd w:val="0"/>
        <w:spacing w:before="200" w:after="200" w:line="480" w:lineRule="auto"/>
        <w:ind w:firstLine="709"/>
        <w:jc w:val="both"/>
        <w:rPr>
          <w:rFonts w:asciiTheme="majorBidi" w:hAnsiTheme="majorBidi"/>
          <w:color w:val="000000" w:themeColor="text1"/>
          <w:sz w:val="24"/>
          <w:szCs w:val="24"/>
        </w:rPr>
      </w:pPr>
      <w:r w:rsidRPr="00141771">
        <w:rPr>
          <w:rFonts w:asciiTheme="majorBidi" w:hAnsiTheme="majorBidi"/>
          <w:color w:val="000000" w:themeColor="text1"/>
          <w:sz w:val="24"/>
          <w:szCs w:val="24"/>
          <w:rtl/>
        </w:rPr>
        <w:t>بحثت هذه الدراسة المقطعية العلاقة بين عدوى الملوية البوابية (</w:t>
      </w:r>
      <w:r w:rsidRPr="00141771">
        <w:rPr>
          <w:rFonts w:asciiTheme="majorBidi" w:hAnsiTheme="majorBidi" w:cstheme="majorBidi"/>
          <w:color w:val="000000" w:themeColor="text1"/>
          <w:sz w:val="24"/>
          <w:szCs w:val="24"/>
        </w:rPr>
        <w:t xml:space="preserve">H. </w:t>
      </w:r>
      <w:proofErr w:type="gramStart"/>
      <w:r w:rsidR="00C6288C" w:rsidRPr="00141771">
        <w:rPr>
          <w:rFonts w:asciiTheme="majorBidi" w:hAnsiTheme="majorBidi" w:cstheme="majorBidi"/>
          <w:color w:val="000000" w:themeColor="text1"/>
          <w:sz w:val="24"/>
          <w:szCs w:val="24"/>
        </w:rPr>
        <w:t>Pylori</w:t>
      </w:r>
      <w:r w:rsidRPr="00141771">
        <w:rPr>
          <w:rFonts w:asciiTheme="majorBidi" w:hAnsiTheme="majorBidi"/>
          <w:color w:val="000000" w:themeColor="text1"/>
          <w:sz w:val="24"/>
          <w:szCs w:val="24"/>
          <w:rtl/>
        </w:rPr>
        <w:t xml:space="preserve">) والأنواع الفرعية النسيجية المرضية لآفات القولون والمستقيم لدى </w:t>
      </w:r>
      <w:r w:rsidR="00B800BF">
        <w:rPr>
          <w:rFonts w:asciiTheme="majorBidi" w:hAnsiTheme="majorBidi"/>
          <w:color w:val="000000" w:themeColor="text1"/>
          <w:sz w:val="24"/>
          <w:szCs w:val="24"/>
        </w:rPr>
        <w:t>40</w:t>
      </w:r>
      <w:r w:rsidRPr="00141771">
        <w:rPr>
          <w:rFonts w:asciiTheme="majorBidi" w:hAnsiTheme="majorBidi"/>
          <w:color w:val="000000" w:themeColor="text1"/>
          <w:sz w:val="24"/>
          <w:szCs w:val="24"/>
          <w:rtl/>
        </w:rPr>
        <w:t xml:space="preserve"> مريضًا يعانون من </w:t>
      </w:r>
      <w:r w:rsidR="00B800BF">
        <w:rPr>
          <w:rFonts w:asciiTheme="majorBidi" w:hAnsiTheme="majorBidi" w:hint="cs"/>
          <w:color w:val="000000" w:themeColor="text1"/>
          <w:sz w:val="24"/>
          <w:szCs w:val="24"/>
          <w:rtl/>
        </w:rPr>
        <w:t>ال</w:t>
      </w:r>
      <w:r w:rsidRPr="00141771">
        <w:rPr>
          <w:rFonts w:asciiTheme="majorBidi" w:hAnsiTheme="majorBidi"/>
          <w:color w:val="000000" w:themeColor="text1"/>
          <w:sz w:val="24"/>
          <w:szCs w:val="24"/>
          <w:rtl/>
        </w:rPr>
        <w:t>أعراض.</w:t>
      </w:r>
      <w:proofErr w:type="gramEnd"/>
      <w:r w:rsidRPr="00141771">
        <w:rPr>
          <w:rFonts w:asciiTheme="majorBidi" w:hAnsiTheme="majorBidi"/>
          <w:color w:val="000000" w:themeColor="text1"/>
          <w:sz w:val="24"/>
          <w:szCs w:val="24"/>
          <w:rtl/>
        </w:rPr>
        <w:t xml:space="preserve"> واستُخدمت طرق الفحص المصلي (</w:t>
      </w:r>
      <w:r w:rsidRPr="00141771">
        <w:rPr>
          <w:rFonts w:asciiTheme="majorBidi" w:hAnsiTheme="majorBidi" w:cstheme="majorBidi"/>
          <w:color w:val="000000" w:themeColor="text1"/>
          <w:sz w:val="24"/>
          <w:szCs w:val="24"/>
        </w:rPr>
        <w:t>ELISA</w:t>
      </w:r>
      <w:r w:rsidRPr="00141771">
        <w:rPr>
          <w:rFonts w:asciiTheme="majorBidi" w:hAnsiTheme="majorBidi"/>
          <w:color w:val="000000" w:themeColor="text1"/>
          <w:sz w:val="24"/>
          <w:szCs w:val="24"/>
          <w:rtl/>
        </w:rPr>
        <w:t>) والفحص المناعي النسيجي الكيميائي (</w:t>
      </w:r>
      <w:r w:rsidRPr="00141771">
        <w:rPr>
          <w:rFonts w:asciiTheme="majorBidi" w:hAnsiTheme="majorBidi" w:cstheme="majorBidi"/>
          <w:color w:val="000000" w:themeColor="text1"/>
          <w:sz w:val="24"/>
          <w:szCs w:val="24"/>
        </w:rPr>
        <w:t>IHC</w:t>
      </w:r>
      <w:r w:rsidRPr="00141771">
        <w:rPr>
          <w:rFonts w:asciiTheme="majorBidi" w:hAnsiTheme="majorBidi"/>
          <w:color w:val="000000" w:themeColor="text1"/>
          <w:sz w:val="24"/>
          <w:szCs w:val="24"/>
          <w:rtl/>
        </w:rPr>
        <w:t>) للكشف عن</w:t>
      </w:r>
      <w:r w:rsidR="00B800BF">
        <w:rPr>
          <w:rFonts w:asciiTheme="majorBidi" w:hAnsiTheme="majorBidi" w:hint="cs"/>
          <w:color w:val="000000" w:themeColor="text1"/>
          <w:sz w:val="24"/>
          <w:szCs w:val="24"/>
          <w:rtl/>
        </w:rPr>
        <w:t xml:space="preserve"> جرثومة</w:t>
      </w:r>
      <w:r w:rsidRPr="00141771">
        <w:rPr>
          <w:rFonts w:asciiTheme="majorBidi" w:hAnsiTheme="majorBidi"/>
          <w:color w:val="000000" w:themeColor="text1"/>
          <w:sz w:val="24"/>
          <w:szCs w:val="24"/>
          <w:rtl/>
        </w:rPr>
        <w:t xml:space="preserve"> الملوية البوابية. </w:t>
      </w:r>
      <w:r w:rsidR="00B800BF">
        <w:rPr>
          <w:rFonts w:asciiTheme="majorBidi" w:hAnsiTheme="majorBidi" w:hint="cs"/>
          <w:color w:val="000000" w:themeColor="text1"/>
          <w:sz w:val="24"/>
          <w:szCs w:val="24"/>
          <w:rtl/>
        </w:rPr>
        <w:t>و</w:t>
      </w:r>
      <w:r w:rsidRPr="00141771">
        <w:rPr>
          <w:rFonts w:asciiTheme="majorBidi" w:hAnsiTheme="majorBidi"/>
          <w:color w:val="000000" w:themeColor="text1"/>
          <w:sz w:val="24"/>
          <w:szCs w:val="24"/>
          <w:rtl/>
        </w:rPr>
        <w:t>أظهرت المجموعة غلبة الذكور (</w:t>
      </w:r>
      <w:r w:rsidR="00B800BF">
        <w:rPr>
          <w:rFonts w:asciiTheme="majorBidi" w:hAnsiTheme="majorBidi"/>
          <w:color w:val="000000" w:themeColor="text1"/>
          <w:sz w:val="24"/>
          <w:szCs w:val="24"/>
        </w:rPr>
        <w:t>77,5</w:t>
      </w:r>
      <w:r w:rsidRPr="00141771">
        <w:rPr>
          <w:rFonts w:asciiTheme="majorBidi" w:hAnsiTheme="majorBidi"/>
          <w:color w:val="000000" w:themeColor="text1"/>
          <w:sz w:val="24"/>
          <w:szCs w:val="24"/>
          <w:rtl/>
        </w:rPr>
        <w:t xml:space="preserve">%) </w:t>
      </w:r>
      <w:r w:rsidR="00B800BF">
        <w:rPr>
          <w:rFonts w:asciiTheme="majorBidi" w:hAnsiTheme="majorBidi" w:hint="cs"/>
          <w:color w:val="000000" w:themeColor="text1"/>
          <w:sz w:val="24"/>
          <w:szCs w:val="24"/>
          <w:rtl/>
        </w:rPr>
        <w:t>ب</w:t>
      </w:r>
      <w:r w:rsidRPr="00141771">
        <w:rPr>
          <w:rFonts w:asciiTheme="majorBidi" w:hAnsiTheme="majorBidi"/>
          <w:color w:val="000000" w:themeColor="text1"/>
          <w:sz w:val="24"/>
          <w:szCs w:val="24"/>
          <w:rtl/>
        </w:rPr>
        <w:t xml:space="preserve">متوسط أعمار </w:t>
      </w:r>
      <w:r w:rsidR="00B800BF">
        <w:rPr>
          <w:rFonts w:asciiTheme="majorBidi" w:hAnsiTheme="majorBidi"/>
          <w:color w:val="000000" w:themeColor="text1"/>
          <w:sz w:val="24"/>
          <w:szCs w:val="24"/>
        </w:rPr>
        <w:t>50,45</w:t>
      </w:r>
      <w:r w:rsidRPr="00141771">
        <w:rPr>
          <w:rFonts w:asciiTheme="majorBidi" w:hAnsiTheme="majorBidi"/>
          <w:color w:val="000000" w:themeColor="text1"/>
          <w:sz w:val="24"/>
          <w:szCs w:val="24"/>
          <w:rtl/>
        </w:rPr>
        <w:t xml:space="preserve"> ± </w:t>
      </w:r>
      <w:r w:rsidR="00B800BF">
        <w:rPr>
          <w:rFonts w:asciiTheme="majorBidi" w:hAnsiTheme="majorBidi"/>
          <w:color w:val="000000" w:themeColor="text1"/>
          <w:sz w:val="24"/>
          <w:szCs w:val="24"/>
        </w:rPr>
        <w:t>17,27</w:t>
      </w:r>
      <w:r w:rsidRPr="00141771">
        <w:rPr>
          <w:rFonts w:asciiTheme="majorBidi" w:hAnsiTheme="majorBidi"/>
          <w:color w:val="000000" w:themeColor="text1"/>
          <w:sz w:val="24"/>
          <w:szCs w:val="24"/>
          <w:rtl/>
        </w:rPr>
        <w:t xml:space="preserve"> عامًا. وكان سرطان الغدة الدرقية هو النوع الفرعي النسيجي المرضي الأكثر شيوعًا (</w:t>
      </w:r>
      <w:r w:rsidR="00B800BF">
        <w:rPr>
          <w:rFonts w:asciiTheme="majorBidi" w:hAnsiTheme="majorBidi"/>
          <w:color w:val="000000" w:themeColor="text1"/>
          <w:sz w:val="24"/>
          <w:szCs w:val="24"/>
        </w:rPr>
        <w:t>27,5</w:t>
      </w:r>
      <w:r w:rsidRPr="00141771">
        <w:rPr>
          <w:rFonts w:asciiTheme="majorBidi" w:hAnsiTheme="majorBidi"/>
          <w:color w:val="000000" w:themeColor="text1"/>
          <w:sz w:val="24"/>
          <w:szCs w:val="24"/>
          <w:rtl/>
        </w:rPr>
        <w:t>%)، يليه التهاب القولون التقرحي المصحوب بأورام غدية حميدة (</w:t>
      </w:r>
      <w:r w:rsidR="00B800BF">
        <w:rPr>
          <w:rFonts w:asciiTheme="majorBidi" w:hAnsiTheme="majorBidi"/>
          <w:color w:val="000000" w:themeColor="text1"/>
          <w:sz w:val="24"/>
          <w:szCs w:val="24"/>
        </w:rPr>
        <w:t>12,5</w:t>
      </w:r>
      <w:r w:rsidRPr="00141771">
        <w:rPr>
          <w:rFonts w:asciiTheme="majorBidi" w:hAnsiTheme="majorBidi"/>
          <w:color w:val="000000" w:themeColor="text1"/>
          <w:sz w:val="24"/>
          <w:szCs w:val="24"/>
          <w:rtl/>
        </w:rPr>
        <w:t xml:space="preserve">%). وقد كشف الفحص المناعي النسيجي الكيميائي عن الملوية البوابية لدى </w:t>
      </w:r>
      <w:r w:rsidR="00B800BF">
        <w:rPr>
          <w:rFonts w:asciiTheme="majorBidi" w:hAnsiTheme="majorBidi"/>
          <w:color w:val="000000" w:themeColor="text1"/>
          <w:sz w:val="24"/>
          <w:szCs w:val="24"/>
        </w:rPr>
        <w:t>57,5</w:t>
      </w:r>
      <w:r w:rsidRPr="00141771">
        <w:rPr>
          <w:rFonts w:asciiTheme="majorBidi" w:hAnsiTheme="majorBidi"/>
          <w:color w:val="000000" w:themeColor="text1"/>
          <w:sz w:val="24"/>
          <w:szCs w:val="24"/>
          <w:rtl/>
        </w:rPr>
        <w:t>% من المرضى، متفوقًا على الفحص المصلي (</w:t>
      </w:r>
      <w:r w:rsidR="00B800BF">
        <w:rPr>
          <w:rFonts w:asciiTheme="majorBidi" w:hAnsiTheme="majorBidi"/>
          <w:color w:val="000000" w:themeColor="text1"/>
          <w:sz w:val="24"/>
          <w:szCs w:val="24"/>
        </w:rPr>
        <w:t>47,5</w:t>
      </w:r>
      <w:r w:rsidRPr="00141771">
        <w:rPr>
          <w:rFonts w:asciiTheme="majorBidi" w:hAnsiTheme="majorBidi"/>
          <w:color w:val="000000" w:themeColor="text1"/>
          <w:sz w:val="24"/>
          <w:szCs w:val="24"/>
          <w:rtl/>
        </w:rPr>
        <w:t>%)، والذي أظهر حساسية منخفضة (</w:t>
      </w:r>
      <w:r w:rsidR="00B800BF">
        <w:rPr>
          <w:rFonts w:asciiTheme="majorBidi" w:hAnsiTheme="majorBidi"/>
          <w:color w:val="000000" w:themeColor="text1"/>
          <w:sz w:val="24"/>
          <w:szCs w:val="24"/>
        </w:rPr>
        <w:t>34,78</w:t>
      </w:r>
      <w:r w:rsidRPr="00141771">
        <w:rPr>
          <w:rFonts w:asciiTheme="majorBidi" w:hAnsiTheme="majorBidi"/>
          <w:color w:val="000000" w:themeColor="text1"/>
          <w:sz w:val="24"/>
          <w:szCs w:val="24"/>
          <w:rtl/>
        </w:rPr>
        <w:t xml:space="preserve">%) </w:t>
      </w:r>
      <w:r w:rsidRPr="00C6288C">
        <w:rPr>
          <w:rFonts w:asciiTheme="majorBidi" w:hAnsiTheme="majorBidi"/>
          <w:color w:val="000000" w:themeColor="text1"/>
          <w:sz w:val="24"/>
          <w:szCs w:val="24"/>
          <w:rtl/>
        </w:rPr>
        <w:t>وخصوصية منخفضة</w:t>
      </w:r>
      <w:r w:rsidRPr="00141771">
        <w:rPr>
          <w:rFonts w:asciiTheme="majorBidi" w:hAnsiTheme="majorBidi"/>
          <w:color w:val="000000" w:themeColor="text1"/>
          <w:sz w:val="24"/>
          <w:szCs w:val="24"/>
          <w:rtl/>
        </w:rPr>
        <w:t xml:space="preserve"> (</w:t>
      </w:r>
      <w:r w:rsidR="00A52EF5">
        <w:rPr>
          <w:rFonts w:asciiTheme="majorBidi" w:hAnsiTheme="majorBidi"/>
          <w:color w:val="000000" w:themeColor="text1"/>
          <w:sz w:val="24"/>
          <w:szCs w:val="24"/>
        </w:rPr>
        <w:t>35,29</w:t>
      </w:r>
      <w:r w:rsidRPr="00141771">
        <w:rPr>
          <w:rFonts w:asciiTheme="majorBidi" w:hAnsiTheme="majorBidi"/>
          <w:color w:val="000000" w:themeColor="text1"/>
          <w:sz w:val="24"/>
          <w:szCs w:val="24"/>
          <w:rtl/>
        </w:rPr>
        <w:t>%).</w:t>
      </w:r>
      <w:r>
        <w:rPr>
          <w:rFonts w:asciiTheme="majorBidi" w:hAnsiTheme="majorBidi" w:hint="cs"/>
          <w:color w:val="000000" w:themeColor="text1"/>
          <w:sz w:val="24"/>
          <w:szCs w:val="24"/>
          <w:rtl/>
        </w:rPr>
        <w:t xml:space="preserve"> </w:t>
      </w:r>
    </w:p>
    <w:p w14:paraId="3D02DCF3" w14:textId="0E227158" w:rsidR="00141771" w:rsidRPr="00141771" w:rsidRDefault="00141771" w:rsidP="00A52EF5">
      <w:pPr>
        <w:autoSpaceDE w:val="0"/>
        <w:autoSpaceDN w:val="0"/>
        <w:bidi/>
        <w:adjustRightInd w:val="0"/>
        <w:spacing w:before="200" w:after="200" w:line="480" w:lineRule="auto"/>
        <w:ind w:firstLine="709"/>
        <w:jc w:val="both"/>
        <w:rPr>
          <w:rFonts w:asciiTheme="majorBidi" w:hAnsiTheme="majorBidi"/>
          <w:color w:val="000000" w:themeColor="text1"/>
          <w:sz w:val="24"/>
          <w:szCs w:val="24"/>
          <w:rtl/>
        </w:rPr>
      </w:pPr>
      <w:r w:rsidRPr="00141771">
        <w:rPr>
          <w:rFonts w:asciiTheme="majorBidi" w:hAnsiTheme="majorBidi"/>
          <w:color w:val="000000" w:themeColor="text1"/>
          <w:sz w:val="24"/>
          <w:szCs w:val="24"/>
          <w:rtl/>
        </w:rPr>
        <w:t>ارتبطت إيجابية مصل البكتيريا الملوية البوابية ارتباطًا وثيقًا بسرطان الغدد (</w:t>
      </w:r>
      <w:r w:rsidRPr="00141771">
        <w:rPr>
          <w:rFonts w:asciiTheme="majorBidi" w:hAnsiTheme="majorBidi"/>
          <w:color w:val="000000" w:themeColor="text1"/>
          <w:sz w:val="24"/>
          <w:szCs w:val="24"/>
        </w:rPr>
        <w:t>p=0.015</w:t>
      </w:r>
      <w:r w:rsidRPr="00141771">
        <w:rPr>
          <w:rFonts w:asciiTheme="majorBidi" w:hAnsiTheme="majorBidi"/>
          <w:color w:val="000000" w:themeColor="text1"/>
          <w:sz w:val="24"/>
          <w:szCs w:val="24"/>
          <w:rtl/>
        </w:rPr>
        <w:t xml:space="preserve">)، مما يشير إلى </w:t>
      </w:r>
      <w:r w:rsidRPr="00C6288C">
        <w:rPr>
          <w:rFonts w:asciiTheme="majorBidi" w:hAnsiTheme="majorBidi"/>
          <w:color w:val="000000" w:themeColor="text1"/>
          <w:sz w:val="24"/>
          <w:szCs w:val="24"/>
          <w:rtl/>
        </w:rPr>
        <w:t>تورط جهازي في التسرطن</w:t>
      </w:r>
      <w:r w:rsidRPr="00141771">
        <w:rPr>
          <w:rFonts w:asciiTheme="majorBidi" w:hAnsiTheme="majorBidi"/>
          <w:color w:val="000000" w:themeColor="text1"/>
          <w:sz w:val="24"/>
          <w:szCs w:val="24"/>
          <w:rtl/>
        </w:rPr>
        <w:t xml:space="preserve">، بينما لم يُظهر اختبار </w:t>
      </w:r>
      <w:r w:rsidRPr="00141771">
        <w:rPr>
          <w:rFonts w:asciiTheme="majorBidi" w:hAnsiTheme="majorBidi"/>
          <w:color w:val="000000" w:themeColor="text1"/>
          <w:sz w:val="24"/>
          <w:szCs w:val="24"/>
        </w:rPr>
        <w:t>IHC</w:t>
      </w:r>
      <w:r w:rsidRPr="00141771">
        <w:rPr>
          <w:rFonts w:asciiTheme="majorBidi" w:hAnsiTheme="majorBidi"/>
          <w:color w:val="000000" w:themeColor="text1"/>
          <w:sz w:val="24"/>
          <w:szCs w:val="24"/>
          <w:rtl/>
        </w:rPr>
        <w:t xml:space="preserve"> أي ارتباط خاص بالأنسجة (</w:t>
      </w:r>
      <w:r w:rsidRPr="00141771">
        <w:rPr>
          <w:rFonts w:asciiTheme="majorBidi" w:hAnsiTheme="majorBidi"/>
          <w:color w:val="000000" w:themeColor="text1"/>
          <w:sz w:val="24"/>
          <w:szCs w:val="24"/>
        </w:rPr>
        <w:t>p=0.363</w:t>
      </w:r>
      <w:r w:rsidRPr="00141771">
        <w:rPr>
          <w:rFonts w:asciiTheme="majorBidi" w:hAnsiTheme="majorBidi"/>
          <w:color w:val="000000" w:themeColor="text1"/>
          <w:sz w:val="24"/>
          <w:szCs w:val="24"/>
          <w:rtl/>
        </w:rPr>
        <w:t xml:space="preserve">)، ولكنه يشير إلى تورط مباشر للبكتيريا في تطور سرطان القولون والمستقيم. تؤكد هذه النتائج تفوق اختبار </w:t>
      </w:r>
      <w:r w:rsidRPr="00141771">
        <w:rPr>
          <w:rFonts w:asciiTheme="majorBidi" w:hAnsiTheme="majorBidi"/>
          <w:color w:val="000000" w:themeColor="text1"/>
          <w:sz w:val="24"/>
          <w:szCs w:val="24"/>
        </w:rPr>
        <w:t>IHC</w:t>
      </w:r>
      <w:r w:rsidRPr="00141771">
        <w:rPr>
          <w:rFonts w:asciiTheme="majorBidi" w:hAnsiTheme="majorBidi"/>
          <w:color w:val="000000" w:themeColor="text1"/>
          <w:sz w:val="24"/>
          <w:szCs w:val="24"/>
          <w:rtl/>
        </w:rPr>
        <w:t xml:space="preserve"> في التشخيص، وتقترح أن تكون حالة البكتيريا الملوية البوابية الجهازية مؤشرًا حيويًا محتملًا لخطر الإصابة بسرطان الغدد. يتطلب الأمر إجراء دراسات أوسع للتحقق من صحة هذه الملاحظات. </w:t>
      </w:r>
    </w:p>
    <w:sectPr w:rsidR="00141771" w:rsidRPr="00141771" w:rsidSect="00FB1FDD">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pgNumType w:start="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647F39" w14:textId="77777777" w:rsidR="007663B4" w:rsidRDefault="007663B4" w:rsidP="00DE4378">
      <w:r>
        <w:separator/>
      </w:r>
    </w:p>
  </w:endnote>
  <w:endnote w:type="continuationSeparator" w:id="0">
    <w:p w14:paraId="7AD3023F" w14:textId="77777777" w:rsidR="007663B4" w:rsidRDefault="007663B4" w:rsidP="00DE4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IDFont+F1">
    <w:altName w:val="Arial Unicode MS"/>
    <w:panose1 w:val="00000000000000000000"/>
    <w:charset w:val="86"/>
    <w:family w:val="auto"/>
    <w:notTrueType/>
    <w:pitch w:val="default"/>
    <w:sig w:usb0="00000000"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D6E04" w14:textId="77777777" w:rsidR="00954111" w:rsidRDefault="009541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772810"/>
      <w:docPartObj>
        <w:docPartGallery w:val="Page Numbers (Bottom of Page)"/>
        <w:docPartUnique/>
      </w:docPartObj>
    </w:sdtPr>
    <w:sdtEndPr>
      <w:rPr>
        <w:noProof/>
      </w:rPr>
    </w:sdtEndPr>
    <w:sdtContent>
      <w:p w14:paraId="13A68B7A" w14:textId="2608162C" w:rsidR="00FB1FDD" w:rsidRDefault="00FB1FDD">
        <w:pPr>
          <w:pStyle w:val="Footer"/>
          <w:jc w:val="center"/>
        </w:pPr>
        <w:r>
          <w:fldChar w:fldCharType="begin"/>
        </w:r>
        <w:r>
          <w:instrText xml:space="preserve"> PAGE   \* MERGEFORMAT </w:instrText>
        </w:r>
        <w:r>
          <w:fldChar w:fldCharType="separate"/>
        </w:r>
        <w:r w:rsidR="00954111">
          <w:rPr>
            <w:noProof/>
          </w:rPr>
          <w:t>97</w:t>
        </w:r>
        <w:r>
          <w:rPr>
            <w:noProof/>
          </w:rPr>
          <w:fldChar w:fldCharType="end"/>
        </w:r>
      </w:p>
    </w:sdtContent>
  </w:sdt>
  <w:p w14:paraId="340E133E" w14:textId="77777777" w:rsidR="00DE4378" w:rsidRDefault="00DE43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95F8A" w14:textId="77777777" w:rsidR="00954111" w:rsidRDefault="009541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1A925" w14:textId="77777777" w:rsidR="007663B4" w:rsidRDefault="007663B4" w:rsidP="00DE4378">
      <w:r>
        <w:separator/>
      </w:r>
    </w:p>
  </w:footnote>
  <w:footnote w:type="continuationSeparator" w:id="0">
    <w:p w14:paraId="656CF37B" w14:textId="77777777" w:rsidR="007663B4" w:rsidRDefault="007663B4" w:rsidP="00DE4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859A1" w14:textId="4A37ECE0" w:rsidR="00954111" w:rsidRDefault="00954111">
    <w:pPr>
      <w:pStyle w:val="Header"/>
    </w:pPr>
    <w:r>
      <w:rPr>
        <w:noProof/>
      </w:rPr>
      <w:pict w14:anchorId="5E873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67844" o:spid="_x0000_s2050" type="#_x0000_t75" style="position:absolute;margin-left:0;margin-top:0;width:468pt;height:468pt;z-index:-251657216;mso-position-horizontal:center;mso-position-horizontal-relative:margin;mso-position-vertical:center;mso-position-vertical-relative:margin" o:allowincell="f">
          <v:imagedata r:id="rId1" o:title="Dijlah Logo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C2B21" w14:textId="03682A1A" w:rsidR="00AA707F" w:rsidRPr="00AA707F" w:rsidRDefault="00954111" w:rsidP="00AA707F">
    <w:pPr>
      <w:tabs>
        <w:tab w:val="center" w:pos="4680"/>
        <w:tab w:val="right" w:pos="9360"/>
      </w:tabs>
      <w:rPr>
        <w:lang w:val="en-GB"/>
      </w:rPr>
    </w:pPr>
    <w:r>
      <w:rPr>
        <w:rFonts w:ascii="Bookman Old Style" w:hAnsi="Bookman Old Style"/>
        <w:b/>
        <w:iCs/>
        <w:noProof/>
        <w:color w:val="000000"/>
      </w:rPr>
      <w:pict w14:anchorId="4E23E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67845" o:spid="_x0000_s2051" type="#_x0000_t75" style="position:absolute;margin-left:0;margin-top:0;width:468pt;height:468pt;z-index:-251656192;mso-position-horizontal:center;mso-position-horizontal-relative:margin;mso-position-vertical:center;mso-position-vertical-relative:margin" o:allowincell="f">
          <v:imagedata r:id="rId1" o:title="Dijlah Logo1" gain="19661f" blacklevel="22938f"/>
        </v:shape>
      </w:pict>
    </w:r>
    <w:r w:rsidR="00AA707F" w:rsidRPr="00AA707F">
      <w:rPr>
        <w:rFonts w:ascii="Bookman Old Style" w:hAnsi="Bookman Old Style"/>
        <w:b/>
        <w:iCs/>
        <w:color w:val="000000"/>
        <w:lang w:val="en-GB" w:eastAsia="el-GR"/>
      </w:rPr>
      <w:t xml:space="preserve">Dijlah Journal of Medical Sciences (DJMS)                 </w:t>
    </w:r>
    <w:r w:rsidR="00AA707F" w:rsidRPr="00AA707F">
      <w:rPr>
        <w:rFonts w:ascii="Bookman Old Style" w:hAnsi="Bookman Old Style"/>
        <w:b/>
        <w:iCs/>
        <w:color w:val="000000"/>
        <w:lang w:val="en-GB" w:eastAsia="el-GR"/>
      </w:rPr>
      <w:tab/>
      <w:t xml:space="preserve">  </w:t>
    </w:r>
    <w:r w:rsidR="00AA707F">
      <w:rPr>
        <w:rFonts w:ascii="Bookman Old Style" w:hAnsi="Bookman Old Style" w:hint="cs"/>
        <w:b/>
        <w:iCs/>
        <w:color w:val="000000"/>
        <w:rtl/>
        <w:lang w:val="en-GB" w:eastAsia="el-GR"/>
      </w:rPr>
      <w:t xml:space="preserve">         </w:t>
    </w:r>
    <w:r w:rsidR="00AA707F">
      <w:rPr>
        <w:rFonts w:ascii="Bookman Old Style" w:hAnsi="Bookman Old Style"/>
        <w:b/>
        <w:iCs/>
        <w:color w:val="000000"/>
        <w:lang w:val="en-GB" w:eastAsia="el-GR"/>
      </w:rPr>
      <w:t xml:space="preserve"> </w:t>
    </w:r>
    <w:r w:rsidR="00AA707F" w:rsidRPr="00AA707F">
      <w:rPr>
        <w:rFonts w:ascii="Bookman Old Style" w:hAnsi="Bookman Old Style"/>
        <w:b/>
        <w:iCs/>
        <w:color w:val="000000"/>
        <w:lang w:val="en-GB" w:eastAsia="el-GR"/>
      </w:rPr>
      <w:t xml:space="preserve">  </w:t>
    </w:r>
    <w:r w:rsidR="00AA707F" w:rsidRPr="00AA707F">
      <w:t xml:space="preserve">Vol. 2, No. 1, September, </w:t>
    </w:r>
    <w:r w:rsidR="00DE6379">
      <w:t>2025, pp. 88-97</w:t>
    </w:r>
  </w:p>
  <w:p w14:paraId="244C9CC4" w14:textId="1B37DDD3" w:rsidR="00AA707F" w:rsidRDefault="00AA707F" w:rsidP="00AA707F">
    <w:pPr>
      <w:pStyle w:val="Header"/>
      <w:rPr>
        <w:lang w:bidi="ar-IQ"/>
      </w:rPr>
    </w:pPr>
    <w:r>
      <w:t>P-ISSN: 3078-3178,</w:t>
    </w:r>
    <w:r w:rsidR="00DD6394">
      <w:t xml:space="preserve"> E-ISSN: 3078-8625, paper ID: 11</w:t>
    </w:r>
  </w:p>
  <w:p w14:paraId="2715098F" w14:textId="56A5737E" w:rsidR="00DE4378" w:rsidRDefault="00DE4378" w:rsidP="00AA707F">
    <w:pPr>
      <w:pStyle w:val="Header"/>
      <w:rPr>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C488E" w14:textId="5585C1B4" w:rsidR="00954111" w:rsidRDefault="00954111">
    <w:pPr>
      <w:pStyle w:val="Header"/>
    </w:pPr>
    <w:r>
      <w:rPr>
        <w:noProof/>
      </w:rPr>
      <w:pict w14:anchorId="07650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67843" o:spid="_x0000_s2049" type="#_x0000_t75" style="position:absolute;margin-left:0;margin-top:0;width:468pt;height:468pt;z-index:-251658240;mso-position-horizontal:center;mso-position-horizontal-relative:margin;mso-position-vertical:center;mso-position-vertical-relative:margin" o:allowincell="f">
          <v:imagedata r:id="rId1" o:title="Dijlah Logo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A29"/>
    <w:multiLevelType w:val="hybridMultilevel"/>
    <w:tmpl w:val="6E1A4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93067E"/>
    <w:multiLevelType w:val="hybridMultilevel"/>
    <w:tmpl w:val="21CAC598"/>
    <w:lvl w:ilvl="0" w:tplc="FA320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186DAA"/>
    <w:multiLevelType w:val="hybridMultilevel"/>
    <w:tmpl w:val="34B0B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378"/>
    <w:rsid w:val="00007C06"/>
    <w:rsid w:val="00042804"/>
    <w:rsid w:val="000B40C4"/>
    <w:rsid w:val="000C5031"/>
    <w:rsid w:val="000E5F4B"/>
    <w:rsid w:val="000E7779"/>
    <w:rsid w:val="001079B8"/>
    <w:rsid w:val="00141771"/>
    <w:rsid w:val="00150583"/>
    <w:rsid w:val="00152A22"/>
    <w:rsid w:val="00190C07"/>
    <w:rsid w:val="001B17FB"/>
    <w:rsid w:val="002A4790"/>
    <w:rsid w:val="002D27FF"/>
    <w:rsid w:val="002D6B20"/>
    <w:rsid w:val="00317C9E"/>
    <w:rsid w:val="00323028"/>
    <w:rsid w:val="0035477E"/>
    <w:rsid w:val="003E60A2"/>
    <w:rsid w:val="003F148E"/>
    <w:rsid w:val="00441FC8"/>
    <w:rsid w:val="004729A7"/>
    <w:rsid w:val="004A5274"/>
    <w:rsid w:val="005064B1"/>
    <w:rsid w:val="00515B6E"/>
    <w:rsid w:val="00532E15"/>
    <w:rsid w:val="005616A0"/>
    <w:rsid w:val="00562B3C"/>
    <w:rsid w:val="00567E01"/>
    <w:rsid w:val="005723B6"/>
    <w:rsid w:val="00574CD6"/>
    <w:rsid w:val="005C133D"/>
    <w:rsid w:val="005D6011"/>
    <w:rsid w:val="0062675D"/>
    <w:rsid w:val="006458BE"/>
    <w:rsid w:val="0065793B"/>
    <w:rsid w:val="00685793"/>
    <w:rsid w:val="0068660A"/>
    <w:rsid w:val="00697ABF"/>
    <w:rsid w:val="006B62F1"/>
    <w:rsid w:val="007139C8"/>
    <w:rsid w:val="00721A3C"/>
    <w:rsid w:val="007556FE"/>
    <w:rsid w:val="007663B4"/>
    <w:rsid w:val="00774D2D"/>
    <w:rsid w:val="0078252D"/>
    <w:rsid w:val="007D7B73"/>
    <w:rsid w:val="007E257D"/>
    <w:rsid w:val="00806862"/>
    <w:rsid w:val="00813EF2"/>
    <w:rsid w:val="0083209D"/>
    <w:rsid w:val="0084197F"/>
    <w:rsid w:val="00872092"/>
    <w:rsid w:val="008D56E9"/>
    <w:rsid w:val="008D5EA6"/>
    <w:rsid w:val="008F32AD"/>
    <w:rsid w:val="00903666"/>
    <w:rsid w:val="0090560B"/>
    <w:rsid w:val="00954111"/>
    <w:rsid w:val="009C09F0"/>
    <w:rsid w:val="00A52EF5"/>
    <w:rsid w:val="00A55ABF"/>
    <w:rsid w:val="00AA707F"/>
    <w:rsid w:val="00AE0758"/>
    <w:rsid w:val="00B800BF"/>
    <w:rsid w:val="00BE1D9B"/>
    <w:rsid w:val="00C1728B"/>
    <w:rsid w:val="00C6288C"/>
    <w:rsid w:val="00C9293E"/>
    <w:rsid w:val="00C9686C"/>
    <w:rsid w:val="00CA03B7"/>
    <w:rsid w:val="00CD4699"/>
    <w:rsid w:val="00D372D4"/>
    <w:rsid w:val="00D517D4"/>
    <w:rsid w:val="00D60A25"/>
    <w:rsid w:val="00DD6394"/>
    <w:rsid w:val="00DE4378"/>
    <w:rsid w:val="00DE6379"/>
    <w:rsid w:val="00DE69A5"/>
    <w:rsid w:val="00E07D03"/>
    <w:rsid w:val="00E15BAA"/>
    <w:rsid w:val="00E459D8"/>
    <w:rsid w:val="00F24C4F"/>
    <w:rsid w:val="00F3072A"/>
    <w:rsid w:val="00FA0918"/>
    <w:rsid w:val="00FB1FDD"/>
    <w:rsid w:val="00FC3E94"/>
    <w:rsid w:val="00FF75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39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8B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378"/>
    <w:pPr>
      <w:tabs>
        <w:tab w:val="center" w:pos="4680"/>
        <w:tab w:val="right" w:pos="9360"/>
      </w:tabs>
    </w:pPr>
  </w:style>
  <w:style w:type="character" w:customStyle="1" w:styleId="HeaderChar">
    <w:name w:val="Header Char"/>
    <w:basedOn w:val="DefaultParagraphFont"/>
    <w:link w:val="Header"/>
    <w:uiPriority w:val="99"/>
    <w:rsid w:val="00DE4378"/>
  </w:style>
  <w:style w:type="paragraph" w:styleId="Footer">
    <w:name w:val="footer"/>
    <w:basedOn w:val="Normal"/>
    <w:link w:val="FooterChar"/>
    <w:uiPriority w:val="99"/>
    <w:unhideWhenUsed/>
    <w:rsid w:val="00DE4378"/>
    <w:pPr>
      <w:tabs>
        <w:tab w:val="center" w:pos="4680"/>
        <w:tab w:val="right" w:pos="9360"/>
      </w:tabs>
    </w:pPr>
  </w:style>
  <w:style w:type="character" w:customStyle="1" w:styleId="FooterChar">
    <w:name w:val="Footer Char"/>
    <w:basedOn w:val="DefaultParagraphFont"/>
    <w:link w:val="Footer"/>
    <w:uiPriority w:val="99"/>
    <w:rsid w:val="00DE4378"/>
  </w:style>
  <w:style w:type="table" w:styleId="TableGrid">
    <w:name w:val="Table Grid"/>
    <w:basedOn w:val="TableNormal"/>
    <w:rsid w:val="00DE43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4378"/>
    <w:rPr>
      <w:rFonts w:ascii="Tahoma" w:hAnsi="Tahoma" w:cs="Tahoma"/>
      <w:sz w:val="16"/>
      <w:szCs w:val="16"/>
    </w:rPr>
  </w:style>
  <w:style w:type="character" w:customStyle="1" w:styleId="BalloonTextChar">
    <w:name w:val="Balloon Text Char"/>
    <w:basedOn w:val="DefaultParagraphFont"/>
    <w:link w:val="BalloonText"/>
    <w:uiPriority w:val="99"/>
    <w:semiHidden/>
    <w:rsid w:val="00DE4378"/>
    <w:rPr>
      <w:rFonts w:ascii="Tahoma" w:hAnsi="Tahoma" w:cs="Tahoma"/>
      <w:sz w:val="16"/>
      <w:szCs w:val="16"/>
    </w:rPr>
  </w:style>
  <w:style w:type="character" w:styleId="Hyperlink">
    <w:name w:val="Hyperlink"/>
    <w:basedOn w:val="DefaultParagraphFont"/>
    <w:rsid w:val="006458BE"/>
    <w:rPr>
      <w:color w:val="0000FF"/>
      <w:u w:val="single"/>
    </w:rPr>
  </w:style>
  <w:style w:type="paragraph" w:styleId="Title">
    <w:name w:val="Title"/>
    <w:basedOn w:val="Normal"/>
    <w:link w:val="TitleChar"/>
    <w:qFormat/>
    <w:rsid w:val="006458BE"/>
    <w:pPr>
      <w:jc w:val="center"/>
    </w:pPr>
    <w:rPr>
      <w:b/>
      <w:bCs/>
      <w:sz w:val="28"/>
      <w:szCs w:val="24"/>
      <w:lang w:val="id-ID"/>
    </w:rPr>
  </w:style>
  <w:style w:type="character" w:customStyle="1" w:styleId="TitleChar">
    <w:name w:val="Title Char"/>
    <w:basedOn w:val="DefaultParagraphFont"/>
    <w:link w:val="Title"/>
    <w:rsid w:val="006458BE"/>
    <w:rPr>
      <w:rFonts w:ascii="Times New Roman" w:eastAsia="Times New Roman" w:hAnsi="Times New Roman" w:cs="Times New Roman"/>
      <w:b/>
      <w:bCs/>
      <w:sz w:val="28"/>
      <w:szCs w:val="24"/>
      <w:lang w:val="id-ID"/>
    </w:rPr>
  </w:style>
  <w:style w:type="character" w:customStyle="1" w:styleId="apple-style-span">
    <w:name w:val="apple-style-span"/>
    <w:basedOn w:val="DefaultParagraphFont"/>
    <w:rsid w:val="006458BE"/>
  </w:style>
  <w:style w:type="character" w:customStyle="1" w:styleId="fontstyle01">
    <w:name w:val="fontstyle01"/>
    <w:basedOn w:val="DefaultParagraphFont"/>
    <w:rsid w:val="006458BE"/>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6458BE"/>
    <w:rPr>
      <w:rFonts w:ascii="NimbusRomNo9L-Regu" w:hAnsi="NimbusRomNo9L-Regu" w:hint="default"/>
      <w:b w:val="0"/>
      <w:bCs w:val="0"/>
      <w:i w:val="0"/>
      <w:iCs w:val="0"/>
      <w:color w:val="000000"/>
      <w:sz w:val="20"/>
      <w:szCs w:val="20"/>
    </w:rPr>
  </w:style>
  <w:style w:type="character" w:customStyle="1" w:styleId="UnresolvedMention">
    <w:name w:val="Unresolved Mention"/>
    <w:basedOn w:val="DefaultParagraphFont"/>
    <w:uiPriority w:val="99"/>
    <w:semiHidden/>
    <w:unhideWhenUsed/>
    <w:rsid w:val="0090560B"/>
    <w:rPr>
      <w:color w:val="605E5C"/>
      <w:shd w:val="clear" w:color="auto" w:fill="E1DFDD"/>
    </w:rPr>
  </w:style>
  <w:style w:type="paragraph" w:styleId="NormalWeb">
    <w:name w:val="Normal (Web)"/>
    <w:basedOn w:val="Normal"/>
    <w:uiPriority w:val="99"/>
    <w:semiHidden/>
    <w:unhideWhenUsed/>
    <w:rsid w:val="000E7779"/>
    <w:rPr>
      <w:sz w:val="24"/>
      <w:szCs w:val="24"/>
    </w:rPr>
  </w:style>
  <w:style w:type="character" w:styleId="FollowedHyperlink">
    <w:name w:val="FollowedHyperlink"/>
    <w:basedOn w:val="DefaultParagraphFont"/>
    <w:uiPriority w:val="99"/>
    <w:semiHidden/>
    <w:unhideWhenUsed/>
    <w:rsid w:val="0083209D"/>
    <w:rPr>
      <w:color w:val="800080" w:themeColor="followedHyperlink"/>
      <w:u w:val="single"/>
    </w:rPr>
  </w:style>
  <w:style w:type="table" w:styleId="LightGrid-Accent5">
    <w:name w:val="Light Grid Accent 5"/>
    <w:basedOn w:val="TableNormal"/>
    <w:uiPriority w:val="62"/>
    <w:rsid w:val="00FF757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515B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8B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378"/>
    <w:pPr>
      <w:tabs>
        <w:tab w:val="center" w:pos="4680"/>
        <w:tab w:val="right" w:pos="9360"/>
      </w:tabs>
    </w:pPr>
  </w:style>
  <w:style w:type="character" w:customStyle="1" w:styleId="HeaderChar">
    <w:name w:val="Header Char"/>
    <w:basedOn w:val="DefaultParagraphFont"/>
    <w:link w:val="Header"/>
    <w:uiPriority w:val="99"/>
    <w:rsid w:val="00DE4378"/>
  </w:style>
  <w:style w:type="paragraph" w:styleId="Footer">
    <w:name w:val="footer"/>
    <w:basedOn w:val="Normal"/>
    <w:link w:val="FooterChar"/>
    <w:uiPriority w:val="99"/>
    <w:unhideWhenUsed/>
    <w:rsid w:val="00DE4378"/>
    <w:pPr>
      <w:tabs>
        <w:tab w:val="center" w:pos="4680"/>
        <w:tab w:val="right" w:pos="9360"/>
      </w:tabs>
    </w:pPr>
  </w:style>
  <w:style w:type="character" w:customStyle="1" w:styleId="FooterChar">
    <w:name w:val="Footer Char"/>
    <w:basedOn w:val="DefaultParagraphFont"/>
    <w:link w:val="Footer"/>
    <w:uiPriority w:val="99"/>
    <w:rsid w:val="00DE4378"/>
  </w:style>
  <w:style w:type="table" w:styleId="TableGrid">
    <w:name w:val="Table Grid"/>
    <w:basedOn w:val="TableNormal"/>
    <w:rsid w:val="00DE43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4378"/>
    <w:rPr>
      <w:rFonts w:ascii="Tahoma" w:hAnsi="Tahoma" w:cs="Tahoma"/>
      <w:sz w:val="16"/>
      <w:szCs w:val="16"/>
    </w:rPr>
  </w:style>
  <w:style w:type="character" w:customStyle="1" w:styleId="BalloonTextChar">
    <w:name w:val="Balloon Text Char"/>
    <w:basedOn w:val="DefaultParagraphFont"/>
    <w:link w:val="BalloonText"/>
    <w:uiPriority w:val="99"/>
    <w:semiHidden/>
    <w:rsid w:val="00DE4378"/>
    <w:rPr>
      <w:rFonts w:ascii="Tahoma" w:hAnsi="Tahoma" w:cs="Tahoma"/>
      <w:sz w:val="16"/>
      <w:szCs w:val="16"/>
    </w:rPr>
  </w:style>
  <w:style w:type="character" w:styleId="Hyperlink">
    <w:name w:val="Hyperlink"/>
    <w:basedOn w:val="DefaultParagraphFont"/>
    <w:rsid w:val="006458BE"/>
    <w:rPr>
      <w:color w:val="0000FF"/>
      <w:u w:val="single"/>
    </w:rPr>
  </w:style>
  <w:style w:type="paragraph" w:styleId="Title">
    <w:name w:val="Title"/>
    <w:basedOn w:val="Normal"/>
    <w:link w:val="TitleChar"/>
    <w:qFormat/>
    <w:rsid w:val="006458BE"/>
    <w:pPr>
      <w:jc w:val="center"/>
    </w:pPr>
    <w:rPr>
      <w:b/>
      <w:bCs/>
      <w:sz w:val="28"/>
      <w:szCs w:val="24"/>
      <w:lang w:val="id-ID"/>
    </w:rPr>
  </w:style>
  <w:style w:type="character" w:customStyle="1" w:styleId="TitleChar">
    <w:name w:val="Title Char"/>
    <w:basedOn w:val="DefaultParagraphFont"/>
    <w:link w:val="Title"/>
    <w:rsid w:val="006458BE"/>
    <w:rPr>
      <w:rFonts w:ascii="Times New Roman" w:eastAsia="Times New Roman" w:hAnsi="Times New Roman" w:cs="Times New Roman"/>
      <w:b/>
      <w:bCs/>
      <w:sz w:val="28"/>
      <w:szCs w:val="24"/>
      <w:lang w:val="id-ID"/>
    </w:rPr>
  </w:style>
  <w:style w:type="character" w:customStyle="1" w:styleId="apple-style-span">
    <w:name w:val="apple-style-span"/>
    <w:basedOn w:val="DefaultParagraphFont"/>
    <w:rsid w:val="006458BE"/>
  </w:style>
  <w:style w:type="character" w:customStyle="1" w:styleId="fontstyle01">
    <w:name w:val="fontstyle01"/>
    <w:basedOn w:val="DefaultParagraphFont"/>
    <w:rsid w:val="006458BE"/>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6458BE"/>
    <w:rPr>
      <w:rFonts w:ascii="NimbusRomNo9L-Regu" w:hAnsi="NimbusRomNo9L-Regu" w:hint="default"/>
      <w:b w:val="0"/>
      <w:bCs w:val="0"/>
      <w:i w:val="0"/>
      <w:iCs w:val="0"/>
      <w:color w:val="000000"/>
      <w:sz w:val="20"/>
      <w:szCs w:val="20"/>
    </w:rPr>
  </w:style>
  <w:style w:type="character" w:customStyle="1" w:styleId="UnresolvedMention">
    <w:name w:val="Unresolved Mention"/>
    <w:basedOn w:val="DefaultParagraphFont"/>
    <w:uiPriority w:val="99"/>
    <w:semiHidden/>
    <w:unhideWhenUsed/>
    <w:rsid w:val="0090560B"/>
    <w:rPr>
      <w:color w:val="605E5C"/>
      <w:shd w:val="clear" w:color="auto" w:fill="E1DFDD"/>
    </w:rPr>
  </w:style>
  <w:style w:type="paragraph" w:styleId="NormalWeb">
    <w:name w:val="Normal (Web)"/>
    <w:basedOn w:val="Normal"/>
    <w:uiPriority w:val="99"/>
    <w:semiHidden/>
    <w:unhideWhenUsed/>
    <w:rsid w:val="000E7779"/>
    <w:rPr>
      <w:sz w:val="24"/>
      <w:szCs w:val="24"/>
    </w:rPr>
  </w:style>
  <w:style w:type="character" w:styleId="FollowedHyperlink">
    <w:name w:val="FollowedHyperlink"/>
    <w:basedOn w:val="DefaultParagraphFont"/>
    <w:uiPriority w:val="99"/>
    <w:semiHidden/>
    <w:unhideWhenUsed/>
    <w:rsid w:val="0083209D"/>
    <w:rPr>
      <w:color w:val="800080" w:themeColor="followedHyperlink"/>
      <w:u w:val="single"/>
    </w:rPr>
  </w:style>
  <w:style w:type="table" w:styleId="LightGrid-Accent5">
    <w:name w:val="Light Grid Accent 5"/>
    <w:basedOn w:val="TableNormal"/>
    <w:uiPriority w:val="62"/>
    <w:rsid w:val="00FF757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515B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698212">
      <w:bodyDiv w:val="1"/>
      <w:marLeft w:val="0"/>
      <w:marRight w:val="0"/>
      <w:marTop w:val="0"/>
      <w:marBottom w:val="0"/>
      <w:divBdr>
        <w:top w:val="none" w:sz="0" w:space="0" w:color="auto"/>
        <w:left w:val="none" w:sz="0" w:space="0" w:color="auto"/>
        <w:bottom w:val="none" w:sz="0" w:space="0" w:color="auto"/>
        <w:right w:val="none" w:sz="0" w:space="0" w:color="auto"/>
      </w:divBdr>
      <w:divsChild>
        <w:div w:id="1391685473">
          <w:marLeft w:val="0"/>
          <w:marRight w:val="0"/>
          <w:marTop w:val="0"/>
          <w:marBottom w:val="0"/>
          <w:divBdr>
            <w:top w:val="none" w:sz="0" w:space="0" w:color="auto"/>
            <w:left w:val="none" w:sz="0" w:space="0" w:color="auto"/>
            <w:bottom w:val="none" w:sz="0" w:space="0" w:color="auto"/>
            <w:right w:val="none" w:sz="0" w:space="0" w:color="auto"/>
          </w:divBdr>
        </w:div>
      </w:divsChild>
    </w:div>
    <w:div w:id="1782601894">
      <w:bodyDiv w:val="1"/>
      <w:marLeft w:val="0"/>
      <w:marRight w:val="0"/>
      <w:marTop w:val="0"/>
      <w:marBottom w:val="0"/>
      <w:divBdr>
        <w:top w:val="none" w:sz="0" w:space="0" w:color="auto"/>
        <w:left w:val="none" w:sz="0" w:space="0" w:color="auto"/>
        <w:bottom w:val="none" w:sz="0" w:space="0" w:color="auto"/>
        <w:right w:val="none" w:sz="0" w:space="0" w:color="auto"/>
      </w:divBdr>
    </w:div>
    <w:div w:id="212981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doi.org/10.1038/nrc1433" TargetMode="External"/><Relationship Id="rId26" Type="http://schemas.openxmlformats.org/officeDocument/2006/relationships/hyperlink" Target="https://doi.org/10.1126/science.1145720" TargetMode="External"/><Relationship Id="rId39" Type="http://schemas.openxmlformats.org/officeDocument/2006/relationships/hyperlink" Target="https://doi.org/10.1038/nrc2857" TargetMode="External"/><Relationship Id="rId3" Type="http://schemas.openxmlformats.org/officeDocument/2006/relationships/styles" Target="styles.xml"/><Relationship Id="rId21" Type="http://schemas.openxmlformats.org/officeDocument/2006/relationships/hyperlink" Target="https://doi.org/10.1371/journal.ppat.1007861" TargetMode="External"/><Relationship Id="rId34" Type="http://schemas.openxmlformats.org/officeDocument/2006/relationships/hyperlink" Target="https://doi.org/10.1093/infdis/jis106"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s://doi.org/10.1111/hel.12160" TargetMode="External"/><Relationship Id="rId25" Type="http://schemas.openxmlformats.org/officeDocument/2006/relationships/hyperlink" Target="https://doi.org/10.1016/j.cell.2011.02.013" TargetMode="External"/><Relationship Id="rId33" Type="http://schemas.openxmlformats.org/officeDocument/2006/relationships/hyperlink" Target="https://doi.org/10.1016/S0140-6736(13)61649-9" TargetMode="External"/><Relationship Id="rId38" Type="http://schemas.openxmlformats.org/officeDocument/2006/relationships/hyperlink" Target="https://doi.org/10.3748/wjg.v12.i26.4206"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053/j.gastro.2009.01.073" TargetMode="External"/><Relationship Id="rId20" Type="http://schemas.openxmlformats.org/officeDocument/2006/relationships/hyperlink" Target="https://doi.org/10.3322/caac.21660" TargetMode="External"/><Relationship Id="rId29" Type="http://schemas.openxmlformats.org/officeDocument/2006/relationships/hyperlink" Target="https://doi.org/10.35124/bca.2020.20.1.1549" TargetMode="External"/><Relationship Id="rId41" Type="http://schemas.openxmlformats.org/officeDocument/2006/relationships/hyperlink" Target="https://seer.cancer.gov/csr/1975_20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s://doi.org/10.1056/NEJM198809013190901" TargetMode="External"/><Relationship Id="rId32" Type="http://schemas.openxmlformats.org/officeDocument/2006/relationships/hyperlink" Target="https://doi.org/10.1038/nrdp.2015.65" TargetMode="External"/><Relationship Id="rId37" Type="http://schemas.openxmlformats.org/officeDocument/2006/relationships/hyperlink" Target="https://doi.org/10.1016/j.jare.2018.01.006" TargetMode="External"/><Relationship Id="rId40" Type="http://schemas.openxmlformats.org/officeDocument/2006/relationships/hyperlink" Target="https://doi.org/10.1056/NEJMoa001999"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doi.org/10.1053/j.gastro.2017.04.022" TargetMode="External"/><Relationship Id="rId23" Type="http://schemas.openxmlformats.org/officeDocument/2006/relationships/hyperlink" Target="https://doi.org/10.3390/medsci6020031" TargetMode="External"/><Relationship Id="rId28" Type="http://schemas.openxmlformats.org/officeDocument/2006/relationships/hyperlink" Target="https://doi.org/10.37506/ijfmt.v15i1.13760" TargetMode="External"/><Relationship Id="rId36" Type="http://schemas.openxmlformats.org/officeDocument/2006/relationships/hyperlink" Target="https://doi.org/10.1053/gast.2002.35392" TargetMode="External"/><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doi.org/10.3390/antibiotics12020191" TargetMode="External"/><Relationship Id="rId31" Type="http://schemas.openxmlformats.org/officeDocument/2006/relationships/hyperlink" Target="https://doi.org/10.1007/s10552-008-9132-y"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zai21m0015@uoanbar.edu.iq" TargetMode="External"/><Relationship Id="rId14" Type="http://schemas.openxmlformats.org/officeDocument/2006/relationships/image" Target="media/image2.png"/><Relationship Id="rId22" Type="http://schemas.openxmlformats.org/officeDocument/2006/relationships/hyperlink" Target="https://doi.org/10.3390/cancers14071732" TargetMode="External"/><Relationship Id="rId27" Type="http://schemas.openxmlformats.org/officeDocument/2006/relationships/hyperlink" Target="https://doi.org/10.1038/s41392-024-01953-7" TargetMode="External"/><Relationship Id="rId30" Type="http://schemas.openxmlformats.org/officeDocument/2006/relationships/hyperlink" Target="https://doi.org/10.1136/gutjnl-2015-310912" TargetMode="External"/><Relationship Id="rId35" Type="http://schemas.openxmlformats.org/officeDocument/2006/relationships/hyperlink" Target="https://doi.org/10.1152/ajpgi.00079.2004"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[condition_distribution_data.xlsx]ورقة1!$B$1:$H$1</c:f>
              <c:strCache>
                <c:ptCount val="7"/>
                <c:pt idx="0">
                  <c:v>Adenocarcinoma</c:v>
                </c:pt>
                <c:pt idx="1">
                  <c:v>UC</c:v>
                </c:pt>
                <c:pt idx="2">
                  <c:v>Inflammation</c:v>
                </c:pt>
                <c:pt idx="3">
                  <c:v>adenomatous polyps </c:v>
                </c:pt>
                <c:pt idx="4">
                  <c:v>Juvenile polyps </c:v>
                </c:pt>
                <c:pt idx="5">
                  <c:v>Rectal ulcer</c:v>
                </c:pt>
                <c:pt idx="6">
                  <c:v>Others</c:v>
                </c:pt>
              </c:strCache>
            </c:strRef>
          </c:cat>
          <c:val>
            <c:numRef>
              <c:f>[condition_distribution_data.xlsx]ورقة1!$B$2:$H$2</c:f>
              <c:numCache>
                <c:formatCode>_(* #,##0_);_(* \(#,##0\);_(* "-"_);_(@_)</c:formatCode>
                <c:ptCount val="7"/>
                <c:pt idx="0">
                  <c:v>11</c:v>
                </c:pt>
                <c:pt idx="1">
                  <c:v>5</c:v>
                </c:pt>
                <c:pt idx="2">
                  <c:v>6</c:v>
                </c:pt>
                <c:pt idx="3">
                  <c:v>5</c:v>
                </c:pt>
                <c:pt idx="4">
                  <c:v>4</c:v>
                </c:pt>
                <c:pt idx="5">
                  <c:v>4</c:v>
                </c:pt>
                <c:pt idx="6">
                  <c:v>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P=0.015</a:t>
            </a:r>
          </a:p>
        </c:rich>
      </c:tx>
      <c:layout>
        <c:manualLayout>
          <c:xMode val="edge"/>
          <c:yMode val="edge"/>
          <c:x val="0.43576607379523113"/>
          <c:y val="0.12962962962962962"/>
        </c:manualLayout>
      </c:layout>
      <c:overlay val="0"/>
      <c:spPr>
        <a:noFill/>
        <a:ln>
          <a:noFill/>
        </a:ln>
        <a:effectLst/>
      </c:spPr>
    </c:title>
    <c:autoTitleDeleted val="0"/>
    <c:plotArea>
      <c:layout/>
      <c:barChart>
        <c:barDir val="col"/>
        <c:grouping val="clustered"/>
        <c:varyColors val="0"/>
        <c:ser>
          <c:idx val="0"/>
          <c:order val="0"/>
          <c:tx>
            <c:strRef>
              <c:f>Sheet1!$A$2</c:f>
              <c:strCache>
                <c:ptCount val="1"/>
                <c:pt idx="0">
                  <c:v>Negative</c:v>
                </c:pt>
              </c:strCache>
            </c:strRef>
          </c:tx>
          <c:spPr>
            <a:solidFill>
              <a:schemeClr val="accent3">
                <a:lumMod val="75000"/>
              </a:schemeClr>
            </a:solidFill>
            <a:ln>
              <a:noFill/>
            </a:ln>
            <a:effectLst/>
          </c:spPr>
          <c:invertIfNegative val="0"/>
          <c:cat>
            <c:strRef>
              <c:f>Sheet1!$B$1:$H$1</c:f>
              <c:strCache>
                <c:ptCount val="7"/>
                <c:pt idx="0">
                  <c:v>Adenocarcinoma</c:v>
                </c:pt>
                <c:pt idx="1">
                  <c:v>Ulcerative colitis</c:v>
                </c:pt>
                <c:pt idx="2">
                  <c:v>Inflammation</c:v>
                </c:pt>
                <c:pt idx="3">
                  <c:v>Aden. polyp</c:v>
                </c:pt>
                <c:pt idx="4">
                  <c:v>Juv. polyp</c:v>
                </c:pt>
                <c:pt idx="5">
                  <c:v>Rectal ulcer</c:v>
                </c:pt>
                <c:pt idx="6">
                  <c:v>Others</c:v>
                </c:pt>
              </c:strCache>
            </c:strRef>
          </c:cat>
          <c:val>
            <c:numRef>
              <c:f>Sheet1!$B$2:$H$2</c:f>
              <c:numCache>
                <c:formatCode>0.00%</c:formatCode>
                <c:ptCount val="7"/>
                <c:pt idx="0">
                  <c:v>9.0899999999999995E-2</c:v>
                </c:pt>
                <c:pt idx="1">
                  <c:v>0.8</c:v>
                </c:pt>
                <c:pt idx="2">
                  <c:v>0.33329999999999999</c:v>
                </c:pt>
                <c:pt idx="3">
                  <c:v>0.4</c:v>
                </c:pt>
                <c:pt idx="4">
                  <c:v>1</c:v>
                </c:pt>
                <c:pt idx="5">
                  <c:v>0.5</c:v>
                </c:pt>
                <c:pt idx="6">
                  <c:v>0.8</c:v>
                </c:pt>
              </c:numCache>
            </c:numRef>
          </c:val>
          <c:extLst xmlns:c16r2="http://schemas.microsoft.com/office/drawing/2015/06/chart">
            <c:ext xmlns:c16="http://schemas.microsoft.com/office/drawing/2014/chart" uri="{C3380CC4-5D6E-409C-BE32-E72D297353CC}">
              <c16:uniqueId val="{00000000-D2F2-4330-9E75-9F4C91D47F06}"/>
            </c:ext>
          </c:extLst>
        </c:ser>
        <c:ser>
          <c:idx val="1"/>
          <c:order val="1"/>
          <c:tx>
            <c:strRef>
              <c:f>Sheet1!$A$3</c:f>
              <c:strCache>
                <c:ptCount val="1"/>
                <c:pt idx="0">
                  <c:v>Positive</c:v>
                </c:pt>
              </c:strCache>
            </c:strRef>
          </c:tx>
          <c:spPr>
            <a:solidFill>
              <a:schemeClr val="accent6">
                <a:lumMod val="75000"/>
              </a:schemeClr>
            </a:solidFill>
            <a:ln>
              <a:noFill/>
            </a:ln>
            <a:effectLst/>
          </c:spPr>
          <c:invertIfNegative val="0"/>
          <c:cat>
            <c:strRef>
              <c:f>Sheet1!$B$1:$H$1</c:f>
              <c:strCache>
                <c:ptCount val="7"/>
                <c:pt idx="0">
                  <c:v>Adenocarcinoma</c:v>
                </c:pt>
                <c:pt idx="1">
                  <c:v>Ulcerative colitis</c:v>
                </c:pt>
                <c:pt idx="2">
                  <c:v>Inflammation</c:v>
                </c:pt>
                <c:pt idx="3">
                  <c:v>Aden. polyp</c:v>
                </c:pt>
                <c:pt idx="4">
                  <c:v>Juv. polyp</c:v>
                </c:pt>
                <c:pt idx="5">
                  <c:v>Rectal ulcer</c:v>
                </c:pt>
                <c:pt idx="6">
                  <c:v>Others</c:v>
                </c:pt>
              </c:strCache>
            </c:strRef>
          </c:cat>
          <c:val>
            <c:numRef>
              <c:f>Sheet1!$B$3:$H$3</c:f>
              <c:numCache>
                <c:formatCode>0.00%</c:formatCode>
                <c:ptCount val="7"/>
                <c:pt idx="0">
                  <c:v>0.90910000000000002</c:v>
                </c:pt>
                <c:pt idx="1">
                  <c:v>0.2</c:v>
                </c:pt>
                <c:pt idx="2">
                  <c:v>0.66669999999999996</c:v>
                </c:pt>
                <c:pt idx="3">
                  <c:v>0.6</c:v>
                </c:pt>
                <c:pt idx="4">
                  <c:v>0</c:v>
                </c:pt>
                <c:pt idx="5">
                  <c:v>0.5</c:v>
                </c:pt>
                <c:pt idx="6">
                  <c:v>0.2</c:v>
                </c:pt>
              </c:numCache>
            </c:numRef>
          </c:val>
          <c:extLst xmlns:c16r2="http://schemas.microsoft.com/office/drawing/2015/06/chart">
            <c:ext xmlns:c16="http://schemas.microsoft.com/office/drawing/2014/chart" uri="{C3380CC4-5D6E-409C-BE32-E72D297353CC}">
              <c16:uniqueId val="{00000001-D2F2-4330-9E75-9F4C91D47F06}"/>
            </c:ext>
          </c:extLst>
        </c:ser>
        <c:dLbls>
          <c:showLegendKey val="0"/>
          <c:showVal val="0"/>
          <c:showCatName val="0"/>
          <c:showSerName val="0"/>
          <c:showPercent val="0"/>
          <c:showBubbleSize val="0"/>
        </c:dLbls>
        <c:gapWidth val="219"/>
        <c:overlap val="-27"/>
        <c:axId val="236452096"/>
        <c:axId val="240521216"/>
      </c:barChart>
      <c:catAx>
        <c:axId val="23645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521216"/>
        <c:crosses val="autoZero"/>
        <c:auto val="1"/>
        <c:lblAlgn val="ctr"/>
        <c:lblOffset val="100"/>
        <c:noMultiLvlLbl val="0"/>
      </c:catAx>
      <c:valAx>
        <c:axId val="24052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452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P=0.363</a:t>
            </a:r>
          </a:p>
        </c:rich>
      </c:tx>
      <c:layout>
        <c:manualLayout>
          <c:xMode val="edge"/>
          <c:yMode val="edge"/>
          <c:x val="0.43576607379523113"/>
          <c:y val="0.12962962962962962"/>
        </c:manualLayout>
      </c:layout>
      <c:overlay val="0"/>
      <c:spPr>
        <a:noFill/>
        <a:ln>
          <a:noFill/>
        </a:ln>
        <a:effectLst/>
      </c:spPr>
    </c:title>
    <c:autoTitleDeleted val="0"/>
    <c:plotArea>
      <c:layout/>
      <c:barChart>
        <c:barDir val="col"/>
        <c:grouping val="clustered"/>
        <c:varyColors val="0"/>
        <c:ser>
          <c:idx val="0"/>
          <c:order val="0"/>
          <c:tx>
            <c:strRef>
              <c:f>Sheet2!$A$2</c:f>
              <c:strCache>
                <c:ptCount val="1"/>
                <c:pt idx="0">
                  <c:v>Negative</c:v>
                </c:pt>
              </c:strCache>
            </c:strRef>
          </c:tx>
          <c:spPr>
            <a:solidFill>
              <a:schemeClr val="accent3">
                <a:lumMod val="75000"/>
              </a:schemeClr>
            </a:solidFill>
            <a:ln>
              <a:noFill/>
            </a:ln>
            <a:effectLst/>
          </c:spPr>
          <c:invertIfNegative val="0"/>
          <c:cat>
            <c:strRef>
              <c:f>Sheet2!$B$1:$H$1</c:f>
              <c:strCache>
                <c:ptCount val="7"/>
                <c:pt idx="0">
                  <c:v>Adenocarcinoma</c:v>
                </c:pt>
                <c:pt idx="1">
                  <c:v>Ulcerative colitis</c:v>
                </c:pt>
                <c:pt idx="2">
                  <c:v>Inflammation</c:v>
                </c:pt>
                <c:pt idx="3">
                  <c:v>Aden. polyp</c:v>
                </c:pt>
                <c:pt idx="4">
                  <c:v>Juv. polyp</c:v>
                </c:pt>
                <c:pt idx="5">
                  <c:v>Rectal ulcer</c:v>
                </c:pt>
                <c:pt idx="6">
                  <c:v>Others</c:v>
                </c:pt>
              </c:strCache>
            </c:strRef>
          </c:cat>
          <c:val>
            <c:numRef>
              <c:f>Sheet2!$B$2:$H$2</c:f>
              <c:numCache>
                <c:formatCode>0.00%</c:formatCode>
                <c:ptCount val="7"/>
                <c:pt idx="0">
                  <c:v>0.18179999999999999</c:v>
                </c:pt>
                <c:pt idx="1">
                  <c:v>0.4</c:v>
                </c:pt>
                <c:pt idx="2">
                  <c:v>0.33329999999999999</c:v>
                </c:pt>
                <c:pt idx="3">
                  <c:v>0.8</c:v>
                </c:pt>
                <c:pt idx="4">
                  <c:v>0.5</c:v>
                </c:pt>
                <c:pt idx="5">
                  <c:v>0.5</c:v>
                </c:pt>
                <c:pt idx="6">
                  <c:v>0.6</c:v>
                </c:pt>
              </c:numCache>
            </c:numRef>
          </c:val>
          <c:extLst xmlns:c16r2="http://schemas.microsoft.com/office/drawing/2015/06/chart">
            <c:ext xmlns:c16="http://schemas.microsoft.com/office/drawing/2014/chart" uri="{C3380CC4-5D6E-409C-BE32-E72D297353CC}">
              <c16:uniqueId val="{00000000-8652-4434-8AA7-01D43A80855B}"/>
            </c:ext>
          </c:extLst>
        </c:ser>
        <c:ser>
          <c:idx val="1"/>
          <c:order val="1"/>
          <c:tx>
            <c:strRef>
              <c:f>Sheet2!$A$3</c:f>
              <c:strCache>
                <c:ptCount val="1"/>
                <c:pt idx="0">
                  <c:v>Positive</c:v>
                </c:pt>
              </c:strCache>
            </c:strRef>
          </c:tx>
          <c:spPr>
            <a:solidFill>
              <a:schemeClr val="accent6">
                <a:lumMod val="75000"/>
              </a:schemeClr>
            </a:solidFill>
            <a:ln>
              <a:noFill/>
            </a:ln>
            <a:effectLst/>
          </c:spPr>
          <c:invertIfNegative val="0"/>
          <c:cat>
            <c:strRef>
              <c:f>Sheet2!$B$1:$H$1</c:f>
              <c:strCache>
                <c:ptCount val="7"/>
                <c:pt idx="0">
                  <c:v>Adenocarcinoma</c:v>
                </c:pt>
                <c:pt idx="1">
                  <c:v>Ulcerative colitis</c:v>
                </c:pt>
                <c:pt idx="2">
                  <c:v>Inflammation</c:v>
                </c:pt>
                <c:pt idx="3">
                  <c:v>Aden. polyp</c:v>
                </c:pt>
                <c:pt idx="4">
                  <c:v>Juv. polyp</c:v>
                </c:pt>
                <c:pt idx="5">
                  <c:v>Rectal ulcer</c:v>
                </c:pt>
                <c:pt idx="6">
                  <c:v>Others</c:v>
                </c:pt>
              </c:strCache>
            </c:strRef>
          </c:cat>
          <c:val>
            <c:numRef>
              <c:f>Sheet2!$B$3:$H$3</c:f>
              <c:numCache>
                <c:formatCode>0.00%</c:formatCode>
                <c:ptCount val="7"/>
                <c:pt idx="0">
                  <c:v>0.81820000000000004</c:v>
                </c:pt>
                <c:pt idx="1">
                  <c:v>0.6</c:v>
                </c:pt>
                <c:pt idx="2">
                  <c:v>0.66669999999999996</c:v>
                </c:pt>
                <c:pt idx="3">
                  <c:v>0.2</c:v>
                </c:pt>
                <c:pt idx="4">
                  <c:v>0.5</c:v>
                </c:pt>
                <c:pt idx="5">
                  <c:v>0.5</c:v>
                </c:pt>
                <c:pt idx="6">
                  <c:v>0.4</c:v>
                </c:pt>
              </c:numCache>
            </c:numRef>
          </c:val>
          <c:extLst xmlns:c16r2="http://schemas.microsoft.com/office/drawing/2015/06/chart">
            <c:ext xmlns:c16="http://schemas.microsoft.com/office/drawing/2014/chart" uri="{C3380CC4-5D6E-409C-BE32-E72D297353CC}">
              <c16:uniqueId val="{00000001-8652-4434-8AA7-01D43A80855B}"/>
            </c:ext>
          </c:extLst>
        </c:ser>
        <c:dLbls>
          <c:showLegendKey val="0"/>
          <c:showVal val="0"/>
          <c:showCatName val="0"/>
          <c:showSerName val="0"/>
          <c:showPercent val="0"/>
          <c:showBubbleSize val="0"/>
        </c:dLbls>
        <c:gapWidth val="219"/>
        <c:overlap val="-27"/>
        <c:axId val="236418560"/>
        <c:axId val="236420096"/>
      </c:barChart>
      <c:catAx>
        <c:axId val="2364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420096"/>
        <c:crosses val="autoZero"/>
        <c:auto val="1"/>
        <c:lblAlgn val="ctr"/>
        <c:lblOffset val="100"/>
        <c:noMultiLvlLbl val="0"/>
      </c:catAx>
      <c:valAx>
        <c:axId val="236420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418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258DE-903E-4590-9280-D365C3802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16821</Words>
  <Characters>95883</Characters>
  <Application>Microsoft Office Word</Application>
  <DocSecurity>0</DocSecurity>
  <Lines>799</Lines>
  <Paragraphs>224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45</cp:revision>
  <cp:lastPrinted>2025-08-16T07:32:00Z</cp:lastPrinted>
  <dcterms:created xsi:type="dcterms:W3CDTF">2025-05-06T09:18:00Z</dcterms:created>
  <dcterms:modified xsi:type="dcterms:W3CDTF">2025-08-16T07:32:00Z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4th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http://www.zotero.org/styles/ieee</vt:lpwstr>
  </property>
</Properties>
</file>