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42826" w14:textId="3ADE6CD1" w:rsidR="00551E4E" w:rsidRPr="00551E4E" w:rsidRDefault="00551E4E" w:rsidP="00551E4E">
      <w:pPr>
        <w:pStyle w:val="Title"/>
        <w:rPr>
          <w:sz w:val="32"/>
          <w:szCs w:val="32"/>
          <w:lang w:val="en-US"/>
        </w:rPr>
      </w:pPr>
      <w:bookmarkStart w:id="0" w:name="_GoBack"/>
      <w:bookmarkEnd w:id="0"/>
      <w:r w:rsidRPr="00551E4E">
        <w:rPr>
          <w:sz w:val="32"/>
          <w:szCs w:val="32"/>
          <w:lang w:val="en-US"/>
        </w:rPr>
        <w:t>Prevalence of Risk Factors for Breast</w:t>
      </w:r>
      <w:r w:rsidR="00B11871">
        <w:rPr>
          <w:sz w:val="32"/>
          <w:szCs w:val="32"/>
          <w:lang w:val="en-US"/>
        </w:rPr>
        <w:t xml:space="preserve"> Tumors Detected by Mammography</w:t>
      </w:r>
      <w:r w:rsidR="00FB50DE">
        <w:rPr>
          <w:sz w:val="32"/>
          <w:szCs w:val="32"/>
          <w:lang w:val="en-US"/>
        </w:rPr>
        <w:t xml:space="preserve"> a</w:t>
      </w:r>
      <w:r w:rsidRPr="00551E4E">
        <w:rPr>
          <w:sz w:val="32"/>
          <w:szCs w:val="32"/>
          <w:lang w:val="en-US"/>
        </w:rPr>
        <w:t xml:space="preserve"> Cross-Sectional Study</w:t>
      </w:r>
    </w:p>
    <w:p w14:paraId="1945A040" w14:textId="77777777" w:rsidR="006458BE" w:rsidRPr="00B11871" w:rsidRDefault="006458BE" w:rsidP="006458BE">
      <w:pPr>
        <w:jc w:val="center"/>
        <w:rPr>
          <w:b/>
          <w:bCs/>
          <w:sz w:val="12"/>
          <w:szCs w:val="12"/>
        </w:rPr>
      </w:pPr>
    </w:p>
    <w:p w14:paraId="1F2185A1" w14:textId="77777777" w:rsidR="006458BE" w:rsidRPr="00B11871" w:rsidRDefault="006458BE" w:rsidP="006458BE">
      <w:pPr>
        <w:jc w:val="center"/>
        <w:rPr>
          <w:b/>
          <w:bCs/>
          <w:sz w:val="12"/>
          <w:szCs w:val="12"/>
        </w:rPr>
      </w:pPr>
    </w:p>
    <w:p w14:paraId="6350F2B4" w14:textId="4A4B694E" w:rsidR="00D83E25" w:rsidRPr="00B11871" w:rsidRDefault="00D83E25" w:rsidP="00D83E25">
      <w:pPr>
        <w:jc w:val="center"/>
        <w:rPr>
          <w:b/>
          <w:bCs/>
          <w:sz w:val="24"/>
          <w:szCs w:val="24"/>
        </w:rPr>
      </w:pPr>
      <w:proofErr w:type="spellStart"/>
      <w:r w:rsidRPr="00B11871">
        <w:rPr>
          <w:b/>
          <w:bCs/>
          <w:sz w:val="24"/>
          <w:szCs w:val="24"/>
        </w:rPr>
        <w:t>Dunya</w:t>
      </w:r>
      <w:proofErr w:type="spellEnd"/>
      <w:r w:rsidRPr="00B11871">
        <w:rPr>
          <w:b/>
          <w:bCs/>
          <w:sz w:val="24"/>
          <w:szCs w:val="24"/>
        </w:rPr>
        <w:t xml:space="preserve"> Ali Mustafa*</w:t>
      </w:r>
    </w:p>
    <w:p w14:paraId="280B30F0" w14:textId="77777777" w:rsidR="00F71265" w:rsidRDefault="00A6394C" w:rsidP="00D83E25">
      <w:pPr>
        <w:jc w:val="center"/>
        <w:rPr>
          <w:sz w:val="18"/>
          <w:szCs w:val="18"/>
        </w:rPr>
      </w:pPr>
      <w:r w:rsidRPr="00B11871">
        <w:rPr>
          <w:sz w:val="18"/>
          <w:szCs w:val="18"/>
        </w:rPr>
        <w:t>Department</w:t>
      </w:r>
      <w:r w:rsidR="00D83E25" w:rsidRPr="00B11871">
        <w:rPr>
          <w:sz w:val="18"/>
          <w:szCs w:val="18"/>
        </w:rPr>
        <w:t xml:space="preserve"> of Radiological Techniques, Health</w:t>
      </w:r>
      <w:r w:rsidR="00B11871">
        <w:rPr>
          <w:sz w:val="18"/>
          <w:szCs w:val="18"/>
        </w:rPr>
        <w:t xml:space="preserve"> and Medical Techniques College-</w:t>
      </w:r>
      <w:r w:rsidR="00D83E25" w:rsidRPr="00B11871">
        <w:rPr>
          <w:sz w:val="18"/>
          <w:szCs w:val="18"/>
        </w:rPr>
        <w:t>Baghda</w:t>
      </w:r>
      <w:r w:rsidR="00B11871">
        <w:rPr>
          <w:sz w:val="18"/>
          <w:szCs w:val="18"/>
        </w:rPr>
        <w:t xml:space="preserve">d, </w:t>
      </w:r>
    </w:p>
    <w:p w14:paraId="337BDA01" w14:textId="50613B2E" w:rsidR="00D83E25" w:rsidRPr="00B11871" w:rsidRDefault="00B11871" w:rsidP="00D83E25">
      <w:pPr>
        <w:jc w:val="center"/>
        <w:rPr>
          <w:sz w:val="18"/>
          <w:szCs w:val="18"/>
        </w:rPr>
      </w:pPr>
      <w:r>
        <w:rPr>
          <w:sz w:val="18"/>
          <w:szCs w:val="18"/>
        </w:rPr>
        <w:t xml:space="preserve">Middle Technical University, Baghdad, </w:t>
      </w:r>
      <w:r w:rsidR="00D83E25" w:rsidRPr="00B11871">
        <w:rPr>
          <w:sz w:val="18"/>
          <w:szCs w:val="18"/>
        </w:rPr>
        <w:t>Iraq</w:t>
      </w:r>
    </w:p>
    <w:p w14:paraId="6D527EB6" w14:textId="77777777" w:rsidR="006458BE" w:rsidRPr="00B11871" w:rsidRDefault="006458BE" w:rsidP="006458BE">
      <w:pPr>
        <w:jc w:val="center"/>
        <w:rPr>
          <w:sz w:val="12"/>
          <w:szCs w:val="12"/>
        </w:rPr>
      </w:pPr>
    </w:p>
    <w:tbl>
      <w:tblPr>
        <w:tblStyle w:val="TableGrid"/>
        <w:tblW w:w="8845" w:type="dxa"/>
        <w:jc w:val="center"/>
        <w:tblLook w:val="04A0" w:firstRow="1" w:lastRow="0" w:firstColumn="1" w:lastColumn="0" w:noHBand="0" w:noVBand="1"/>
      </w:tblPr>
      <w:tblGrid>
        <w:gridCol w:w="2790"/>
        <w:gridCol w:w="282"/>
        <w:gridCol w:w="5773"/>
      </w:tblGrid>
      <w:tr w:rsidR="006458BE" w14:paraId="61E38159" w14:textId="77777777" w:rsidTr="00FD7EDD">
        <w:trPr>
          <w:jc w:val="center"/>
        </w:trPr>
        <w:tc>
          <w:tcPr>
            <w:tcW w:w="2802" w:type="dxa"/>
            <w:tcBorders>
              <w:top w:val="double" w:sz="4" w:space="0" w:color="auto"/>
              <w:left w:val="nil"/>
              <w:bottom w:val="single" w:sz="4" w:space="0" w:color="auto"/>
              <w:right w:val="nil"/>
            </w:tcBorders>
          </w:tcPr>
          <w:p w14:paraId="10D3F060" w14:textId="77777777" w:rsidR="006458BE" w:rsidRPr="00957C11" w:rsidRDefault="006458BE" w:rsidP="00FD7EDD">
            <w:pPr>
              <w:spacing w:before="120"/>
              <w:jc w:val="both"/>
              <w:rPr>
                <w:b/>
              </w:rPr>
            </w:pPr>
            <w:r w:rsidRPr="00957C11">
              <w:rPr>
                <w:b/>
              </w:rPr>
              <w:t>Article Info</w:t>
            </w:r>
          </w:p>
        </w:tc>
        <w:tc>
          <w:tcPr>
            <w:tcW w:w="283" w:type="dxa"/>
            <w:tcBorders>
              <w:top w:val="double" w:sz="4" w:space="0" w:color="auto"/>
              <w:left w:val="nil"/>
              <w:bottom w:val="nil"/>
              <w:right w:val="nil"/>
            </w:tcBorders>
          </w:tcPr>
          <w:p w14:paraId="2DB947DA" w14:textId="77777777" w:rsidR="006458BE" w:rsidRDefault="006458BE" w:rsidP="00FD7EDD">
            <w:pPr>
              <w:spacing w:before="120"/>
              <w:jc w:val="center"/>
            </w:pPr>
          </w:p>
        </w:tc>
        <w:tc>
          <w:tcPr>
            <w:tcW w:w="5812" w:type="dxa"/>
            <w:tcBorders>
              <w:top w:val="double" w:sz="4" w:space="0" w:color="auto"/>
              <w:left w:val="nil"/>
              <w:bottom w:val="single" w:sz="4" w:space="0" w:color="auto"/>
              <w:right w:val="nil"/>
            </w:tcBorders>
          </w:tcPr>
          <w:p w14:paraId="380639C8" w14:textId="503B85D4" w:rsidR="006458BE" w:rsidRPr="00957C11" w:rsidRDefault="006458BE" w:rsidP="002C6CF9">
            <w:pPr>
              <w:spacing w:before="120"/>
              <w:rPr>
                <w:color w:val="000000"/>
                <w:sz w:val="24"/>
                <w:szCs w:val="24"/>
              </w:rPr>
            </w:pPr>
            <w:r w:rsidRPr="00957C11">
              <w:rPr>
                <w:b/>
                <w:bCs/>
                <w:iCs/>
                <w:color w:val="000000"/>
              </w:rPr>
              <w:t xml:space="preserve">ABSTRACT </w:t>
            </w:r>
          </w:p>
        </w:tc>
      </w:tr>
      <w:tr w:rsidR="006458BE" w14:paraId="75E2A225" w14:textId="77777777" w:rsidTr="00FD7EDD">
        <w:trPr>
          <w:trHeight w:val="1268"/>
          <w:jc w:val="center"/>
        </w:trPr>
        <w:tc>
          <w:tcPr>
            <w:tcW w:w="2802" w:type="dxa"/>
            <w:tcBorders>
              <w:top w:val="single" w:sz="4" w:space="0" w:color="auto"/>
              <w:left w:val="nil"/>
              <w:bottom w:val="single" w:sz="4" w:space="0" w:color="auto"/>
              <w:right w:val="nil"/>
            </w:tcBorders>
          </w:tcPr>
          <w:p w14:paraId="6FE62F69" w14:textId="77777777" w:rsidR="006458BE" w:rsidRPr="007F286F" w:rsidRDefault="006458BE" w:rsidP="00FD7EDD">
            <w:pPr>
              <w:spacing w:before="120" w:after="120"/>
              <w:jc w:val="both"/>
              <w:rPr>
                <w:b/>
                <w:i/>
              </w:rPr>
            </w:pPr>
            <w:r w:rsidRPr="007F286F">
              <w:rPr>
                <w:b/>
                <w:i/>
              </w:rPr>
              <w:t>Article history:</w:t>
            </w:r>
          </w:p>
          <w:p w14:paraId="6CB5C78D" w14:textId="4E811883" w:rsidR="006458BE" w:rsidRDefault="006458BE" w:rsidP="00466DDA">
            <w:pPr>
              <w:jc w:val="both"/>
            </w:pPr>
            <w:r w:rsidRPr="00957C11">
              <w:t>Received</w:t>
            </w:r>
            <w:r>
              <w:t xml:space="preserve"> </w:t>
            </w:r>
            <w:r w:rsidR="00466DDA">
              <w:t xml:space="preserve">  May,</w:t>
            </w:r>
            <w:r w:rsidRPr="00523156">
              <w:t xml:space="preserve"> </w:t>
            </w:r>
            <w:r w:rsidR="00466DDA">
              <w:t>05</w:t>
            </w:r>
            <w:r w:rsidRPr="00523156">
              <w:t xml:space="preserve">, </w:t>
            </w:r>
            <w:r w:rsidR="00466DDA">
              <w:t>2025</w:t>
            </w:r>
          </w:p>
          <w:p w14:paraId="14B56888" w14:textId="5A02F7F3" w:rsidR="006458BE" w:rsidRDefault="006458BE" w:rsidP="00416F6C">
            <w:pPr>
              <w:jc w:val="both"/>
            </w:pPr>
            <w:r>
              <w:t xml:space="preserve">Revised </w:t>
            </w:r>
            <w:r w:rsidR="00466DDA">
              <w:t xml:space="preserve">    </w:t>
            </w:r>
            <w:r w:rsidR="00416F6C">
              <w:t>June,</w:t>
            </w:r>
            <w:r w:rsidRPr="00523156">
              <w:t xml:space="preserve"> </w:t>
            </w:r>
            <w:r w:rsidR="00416F6C">
              <w:t>14</w:t>
            </w:r>
            <w:r w:rsidRPr="00523156">
              <w:t xml:space="preserve">, </w:t>
            </w:r>
            <w:r w:rsidR="00416F6C">
              <w:t>2025</w:t>
            </w:r>
          </w:p>
          <w:p w14:paraId="0E77EA13" w14:textId="7A2E56DA" w:rsidR="006458BE" w:rsidRDefault="006458BE" w:rsidP="00416F6C">
            <w:pPr>
              <w:jc w:val="both"/>
            </w:pPr>
            <w:r>
              <w:t>Accepted</w:t>
            </w:r>
            <w:r w:rsidR="00466DDA">
              <w:t xml:space="preserve"> </w:t>
            </w:r>
            <w:r>
              <w:t xml:space="preserve"> </w:t>
            </w:r>
            <w:r w:rsidR="00416F6C">
              <w:t>July,</w:t>
            </w:r>
            <w:r w:rsidRPr="00523156">
              <w:t xml:space="preserve"> </w:t>
            </w:r>
            <w:r w:rsidR="00416F6C">
              <w:t>24</w:t>
            </w:r>
            <w:r w:rsidRPr="00523156">
              <w:t xml:space="preserve">, </w:t>
            </w:r>
            <w:r w:rsidR="00416F6C">
              <w:t>2025</w:t>
            </w:r>
          </w:p>
          <w:p w14:paraId="295B8504" w14:textId="77777777" w:rsidR="006458BE" w:rsidRPr="00957C11" w:rsidRDefault="006458BE" w:rsidP="00FD7EDD">
            <w:pPr>
              <w:jc w:val="both"/>
            </w:pPr>
          </w:p>
        </w:tc>
        <w:tc>
          <w:tcPr>
            <w:tcW w:w="283" w:type="dxa"/>
            <w:vMerge w:val="restart"/>
            <w:tcBorders>
              <w:top w:val="nil"/>
              <w:left w:val="nil"/>
              <w:bottom w:val="nil"/>
              <w:right w:val="nil"/>
            </w:tcBorders>
          </w:tcPr>
          <w:p w14:paraId="370AA114" w14:textId="77777777" w:rsidR="006458BE" w:rsidRDefault="006458BE" w:rsidP="00FD7EDD">
            <w:pPr>
              <w:spacing w:before="120"/>
              <w:jc w:val="both"/>
            </w:pPr>
          </w:p>
        </w:tc>
        <w:tc>
          <w:tcPr>
            <w:tcW w:w="5812" w:type="dxa"/>
            <w:vMerge w:val="restart"/>
            <w:tcBorders>
              <w:top w:val="single" w:sz="4" w:space="0" w:color="auto"/>
              <w:left w:val="nil"/>
              <w:bottom w:val="nil"/>
              <w:right w:val="nil"/>
            </w:tcBorders>
          </w:tcPr>
          <w:p w14:paraId="2DD23FB4" w14:textId="2FC0A623" w:rsidR="006458BE" w:rsidRPr="00F30526" w:rsidRDefault="00466DDA" w:rsidP="00DA0E76">
            <w:pPr>
              <w:spacing w:before="120"/>
              <w:jc w:val="both"/>
            </w:pPr>
            <w:r>
              <w:rPr>
                <w:iCs/>
                <w:color w:val="000000"/>
              </w:rPr>
              <w:t xml:space="preserve">             </w:t>
            </w:r>
            <w:r w:rsidR="00E5079A" w:rsidRPr="00F30526">
              <w:rPr>
                <w:iCs/>
                <w:color w:val="000000"/>
              </w:rPr>
              <w:t>This cross-sectional study sought to determine the association between demographic variables and the presence of breast tumors (tumors detected</w:t>
            </w:r>
            <w:r w:rsidR="00E5079A" w:rsidRPr="00F30526">
              <w:rPr>
                <w:iCs/>
                <w:color w:val="000000"/>
              </w:rPr>
              <w:t> </w:t>
            </w:r>
            <w:r w:rsidR="00E5079A" w:rsidRPr="00F30526">
              <w:rPr>
                <w:iCs/>
                <w:color w:val="000000"/>
              </w:rPr>
              <w:t>by mammography). This study included 100 patients who referred to mammographic examination in medical city of Baghdad</w:t>
            </w:r>
            <w:r w:rsidR="00E22A07" w:rsidRPr="00F30526">
              <w:t xml:space="preserve"> </w:t>
            </w:r>
            <w:r w:rsidR="00E22A07" w:rsidRPr="00F30526">
              <w:rPr>
                <w:iCs/>
                <w:color w:val="000000"/>
              </w:rPr>
              <w:t xml:space="preserve">Department </w:t>
            </w:r>
            <w:r w:rsidR="00E5079A" w:rsidRPr="00F30526">
              <w:rPr>
                <w:iCs/>
                <w:color w:val="000000"/>
              </w:rPr>
              <w:t xml:space="preserve">(Oncology Teaching Hospital) during a six-month period from September 2024 to February 2025. Demographic and clinical data were </w:t>
            </w:r>
            <w:r w:rsidR="00DA0E76" w:rsidRPr="00F30526">
              <w:rPr>
                <w:iCs/>
                <w:color w:val="000000"/>
              </w:rPr>
              <w:t xml:space="preserve">collected, including history </w:t>
            </w:r>
            <w:r>
              <w:rPr>
                <w:iCs/>
                <w:color w:val="000000"/>
              </w:rPr>
              <w:t xml:space="preserve">of hormones treatment, age, BMI, and the history of </w:t>
            </w:r>
            <w:r w:rsidR="00E5079A" w:rsidRPr="00F30526">
              <w:rPr>
                <w:iCs/>
                <w:color w:val="000000"/>
              </w:rPr>
              <w:t>family with disease. Full-volume mammographic assessments were individually examined by board-certified</w:t>
            </w:r>
            <w:r w:rsidR="00E5079A" w:rsidRPr="00F30526">
              <w:rPr>
                <w:iCs/>
                <w:color w:val="000000"/>
              </w:rPr>
              <w:t> </w:t>
            </w:r>
            <w:r w:rsidR="00E5079A" w:rsidRPr="00F30526">
              <w:rPr>
                <w:iCs/>
                <w:color w:val="000000"/>
              </w:rPr>
              <w:t xml:space="preserve">radiologists. Multivariate analyses were conducted to ascertain if any of the above associations were statistically significant </w:t>
            </w:r>
            <w:proofErr w:type="gramStart"/>
            <w:r w:rsidR="00E5079A" w:rsidRPr="00F30526">
              <w:rPr>
                <w:iCs/>
                <w:color w:val="000000"/>
              </w:rPr>
              <w:t>( p</w:t>
            </w:r>
            <w:proofErr w:type="gramEnd"/>
            <w:r w:rsidR="00E5079A" w:rsidRPr="00F30526">
              <w:rPr>
                <w:iCs/>
                <w:color w:val="000000"/>
              </w:rPr>
              <w:t>-value of &lt;0.05) between risk</w:t>
            </w:r>
            <w:r w:rsidR="00E5079A" w:rsidRPr="00F30526">
              <w:rPr>
                <w:iCs/>
                <w:color w:val="000000"/>
              </w:rPr>
              <w:t> </w:t>
            </w:r>
            <w:r w:rsidR="00E5079A" w:rsidRPr="00F30526">
              <w:rPr>
                <w:iCs/>
                <w:color w:val="000000"/>
              </w:rPr>
              <w:t>factors and tumor.</w:t>
            </w:r>
            <w:r w:rsidR="00105AD7" w:rsidRPr="00F30526">
              <w:rPr>
                <w:iCs/>
                <w:color w:val="000000"/>
              </w:rPr>
              <w:t xml:space="preserve"> </w:t>
            </w:r>
            <w:r w:rsidR="00E5079A" w:rsidRPr="00F30526">
              <w:rPr>
                <w:iCs/>
                <w:color w:val="000000"/>
              </w:rPr>
              <w:t>There was a significant relationship</w:t>
            </w:r>
            <w:r w:rsidR="00E5079A" w:rsidRPr="00F30526">
              <w:rPr>
                <w:iCs/>
                <w:color w:val="000000"/>
              </w:rPr>
              <w:t> </w:t>
            </w:r>
            <w:r w:rsidR="00E5079A" w:rsidRPr="00F30526">
              <w:rPr>
                <w:iCs/>
                <w:color w:val="000000"/>
              </w:rPr>
              <w:t xml:space="preserve">with age (older patients) and positive family history (increased risk relative to comparison subjects) for possible malignant mammographic features (e.g., </w:t>
            </w:r>
            <w:proofErr w:type="spellStart"/>
            <w:r w:rsidR="00E5079A" w:rsidRPr="00F30526">
              <w:rPr>
                <w:iCs/>
                <w:color w:val="000000"/>
              </w:rPr>
              <w:t>spiculated</w:t>
            </w:r>
            <w:proofErr w:type="spellEnd"/>
            <w:r w:rsidR="00E5079A" w:rsidRPr="00F30526">
              <w:rPr>
                <w:iCs/>
                <w:color w:val="000000"/>
              </w:rPr>
              <w:t xml:space="preserve"> mass margins and </w:t>
            </w:r>
            <w:proofErr w:type="spellStart"/>
            <w:r w:rsidR="00E5079A" w:rsidRPr="00F30526">
              <w:rPr>
                <w:iCs/>
                <w:color w:val="000000"/>
              </w:rPr>
              <w:t>microcalcifications</w:t>
            </w:r>
            <w:proofErr w:type="spellEnd"/>
            <w:r w:rsidR="00E5079A" w:rsidRPr="00F30526">
              <w:rPr>
                <w:iCs/>
                <w:color w:val="000000"/>
              </w:rPr>
              <w:t>). In the multivariate model, body mass index and prior hormone replacement</w:t>
            </w:r>
            <w:r w:rsidR="00E5079A" w:rsidRPr="00F30526">
              <w:rPr>
                <w:iCs/>
                <w:color w:val="000000"/>
              </w:rPr>
              <w:t> </w:t>
            </w:r>
            <w:r w:rsidR="00E5079A" w:rsidRPr="00F30526">
              <w:rPr>
                <w:iCs/>
                <w:color w:val="000000"/>
              </w:rPr>
              <w:t>therapy also trended toward significance but did not match the threshold.</w:t>
            </w:r>
            <w:r w:rsidR="00105AD7" w:rsidRPr="00F30526">
              <w:rPr>
                <w:iCs/>
                <w:color w:val="000000"/>
              </w:rPr>
              <w:t xml:space="preserve"> </w:t>
            </w:r>
            <w:r w:rsidR="00E5079A" w:rsidRPr="00F30526">
              <w:rPr>
                <w:iCs/>
                <w:color w:val="000000"/>
              </w:rPr>
              <w:t>This study identifies important demographic and mammographic imaging predictors of breast tumors. These results justify additional exploration and provide supporting evidence for broad-based risk stratification</w:t>
            </w:r>
            <w:r w:rsidR="00E5079A" w:rsidRPr="00F30526">
              <w:rPr>
                <w:iCs/>
                <w:color w:val="000000"/>
              </w:rPr>
              <w:t> </w:t>
            </w:r>
            <w:r w:rsidR="00E5079A" w:rsidRPr="00F30526">
              <w:rPr>
                <w:iCs/>
                <w:color w:val="000000"/>
              </w:rPr>
              <w:t xml:space="preserve">to enable early diagnosis </w:t>
            </w:r>
            <w:r w:rsidR="00F82019" w:rsidRPr="00F30526">
              <w:rPr>
                <w:iCs/>
                <w:color w:val="000000"/>
              </w:rPr>
              <w:t>of the disease and thus reduce the risk of deterioration of the patient's injuries and reduce the risk of death.</w:t>
            </w:r>
          </w:p>
        </w:tc>
      </w:tr>
      <w:tr w:rsidR="006458BE" w14:paraId="2137C824" w14:textId="77777777" w:rsidTr="00FD7EDD">
        <w:trPr>
          <w:trHeight w:val="1231"/>
          <w:jc w:val="center"/>
        </w:trPr>
        <w:tc>
          <w:tcPr>
            <w:tcW w:w="2802" w:type="dxa"/>
            <w:vMerge w:val="restart"/>
            <w:tcBorders>
              <w:top w:val="single" w:sz="4" w:space="0" w:color="auto"/>
              <w:left w:val="nil"/>
              <w:bottom w:val="single" w:sz="4" w:space="0" w:color="auto"/>
              <w:right w:val="nil"/>
            </w:tcBorders>
          </w:tcPr>
          <w:p w14:paraId="127369C5" w14:textId="77777777" w:rsidR="006458BE" w:rsidRPr="007F286F" w:rsidRDefault="006458BE" w:rsidP="00FD7EDD">
            <w:pPr>
              <w:spacing w:before="120" w:after="120"/>
              <w:jc w:val="both"/>
              <w:rPr>
                <w:b/>
                <w:i/>
              </w:rPr>
            </w:pPr>
            <w:r w:rsidRPr="007F286F">
              <w:rPr>
                <w:b/>
                <w:i/>
              </w:rPr>
              <w:t>Keyword</w:t>
            </w:r>
            <w:r>
              <w:rPr>
                <w:b/>
                <w:i/>
              </w:rPr>
              <w:t>s</w:t>
            </w:r>
            <w:r w:rsidRPr="007F286F">
              <w:rPr>
                <w:b/>
                <w:i/>
              </w:rPr>
              <w:t>:</w:t>
            </w:r>
          </w:p>
          <w:p w14:paraId="70AD55A6" w14:textId="1E8782E2" w:rsidR="006458BE" w:rsidRPr="00860D9B" w:rsidRDefault="00466DDA" w:rsidP="00466DDA">
            <w:pPr>
              <w:jc w:val="both"/>
            </w:pPr>
            <w:r w:rsidRPr="00860D9B">
              <w:t>B</w:t>
            </w:r>
            <w:r w:rsidR="0001229E" w:rsidRPr="00860D9B">
              <w:t xml:space="preserve">reast </w:t>
            </w:r>
            <w:r w:rsidRPr="00860D9B">
              <w:t>T</w:t>
            </w:r>
            <w:r w:rsidR="0001229E" w:rsidRPr="00860D9B">
              <w:t>umor</w:t>
            </w:r>
            <w:r w:rsidRPr="00860D9B">
              <w:t xml:space="preserve">, </w:t>
            </w:r>
          </w:p>
          <w:p w14:paraId="44BBAC27" w14:textId="59572B82" w:rsidR="006458BE" w:rsidRPr="00860D9B" w:rsidRDefault="00466DDA" w:rsidP="00CA587B">
            <w:pPr>
              <w:jc w:val="both"/>
            </w:pPr>
            <w:r w:rsidRPr="00860D9B">
              <w:t>M</w:t>
            </w:r>
            <w:r w:rsidR="0001229E" w:rsidRPr="00860D9B">
              <w:t>ammography</w:t>
            </w:r>
            <w:r w:rsidRPr="00860D9B">
              <w:t>,</w:t>
            </w:r>
            <w:r w:rsidR="006458BE" w:rsidRPr="00860D9B">
              <w:t xml:space="preserve"> </w:t>
            </w:r>
          </w:p>
          <w:p w14:paraId="6EC82EE7" w14:textId="5780DA65" w:rsidR="006458BE" w:rsidRPr="00860D9B" w:rsidRDefault="00466DDA" w:rsidP="00466DDA">
            <w:pPr>
              <w:jc w:val="both"/>
            </w:pPr>
            <w:r w:rsidRPr="00860D9B">
              <w:t>C</w:t>
            </w:r>
            <w:r w:rsidR="0001229E" w:rsidRPr="00860D9B">
              <w:t>ross-</w:t>
            </w:r>
            <w:r w:rsidRPr="00860D9B">
              <w:t>S</w:t>
            </w:r>
            <w:r w:rsidR="0001229E" w:rsidRPr="00860D9B">
              <w:t xml:space="preserve">ectional </w:t>
            </w:r>
            <w:r w:rsidRPr="00860D9B">
              <w:t>S</w:t>
            </w:r>
            <w:r w:rsidR="0001229E" w:rsidRPr="00860D9B">
              <w:t>tudy</w:t>
            </w:r>
            <w:r w:rsidRPr="00860D9B">
              <w:t>,</w:t>
            </w:r>
            <w:r w:rsidR="006458BE" w:rsidRPr="00860D9B">
              <w:t xml:space="preserve"> </w:t>
            </w:r>
          </w:p>
          <w:p w14:paraId="10BC52DA" w14:textId="68AB4DC2" w:rsidR="006458BE" w:rsidRPr="00860D9B" w:rsidRDefault="00466DDA" w:rsidP="00466DDA">
            <w:pPr>
              <w:jc w:val="both"/>
            </w:pPr>
            <w:r w:rsidRPr="00860D9B">
              <w:t>D</w:t>
            </w:r>
            <w:r w:rsidR="0001229E" w:rsidRPr="00860D9B">
              <w:t xml:space="preserve">emographic </w:t>
            </w:r>
            <w:r w:rsidRPr="00860D9B">
              <w:t>F</w:t>
            </w:r>
            <w:r w:rsidR="0001229E" w:rsidRPr="00860D9B">
              <w:t>actors</w:t>
            </w:r>
            <w:r w:rsidRPr="00860D9B">
              <w:t xml:space="preserve">, </w:t>
            </w:r>
          </w:p>
          <w:p w14:paraId="23C31D49" w14:textId="54F65FDC" w:rsidR="006458BE" w:rsidRPr="007F286F" w:rsidRDefault="00466DDA" w:rsidP="00466DDA">
            <w:pPr>
              <w:rPr>
                <w:b/>
                <w:i/>
              </w:rPr>
            </w:pPr>
            <w:r w:rsidRPr="00860D9B">
              <w:rPr>
                <w:iCs/>
                <w:color w:val="000000"/>
              </w:rPr>
              <w:t>M</w:t>
            </w:r>
            <w:r w:rsidR="00707B63" w:rsidRPr="00860D9B">
              <w:rPr>
                <w:iCs/>
                <w:color w:val="000000"/>
              </w:rPr>
              <w:t xml:space="preserve">ammographic </w:t>
            </w:r>
            <w:r w:rsidRPr="00860D9B">
              <w:rPr>
                <w:iCs/>
                <w:color w:val="000000"/>
              </w:rPr>
              <w:t>F</w:t>
            </w:r>
            <w:r w:rsidR="00707B63" w:rsidRPr="00860D9B">
              <w:rPr>
                <w:iCs/>
                <w:color w:val="000000"/>
              </w:rPr>
              <w:t>eatures</w:t>
            </w:r>
            <w:r>
              <w:rPr>
                <w:iCs/>
                <w:color w:val="000000"/>
                <w:sz w:val="18"/>
                <w:szCs w:val="18"/>
              </w:rPr>
              <w:t xml:space="preserve"> </w:t>
            </w:r>
          </w:p>
        </w:tc>
        <w:tc>
          <w:tcPr>
            <w:tcW w:w="283" w:type="dxa"/>
            <w:vMerge/>
            <w:tcBorders>
              <w:top w:val="nil"/>
              <w:left w:val="nil"/>
              <w:bottom w:val="nil"/>
              <w:right w:val="nil"/>
            </w:tcBorders>
          </w:tcPr>
          <w:p w14:paraId="0F4733D1" w14:textId="77777777" w:rsidR="006458BE" w:rsidRDefault="006458BE" w:rsidP="00FD7EDD">
            <w:pPr>
              <w:spacing w:before="120"/>
              <w:jc w:val="both"/>
            </w:pPr>
          </w:p>
        </w:tc>
        <w:tc>
          <w:tcPr>
            <w:tcW w:w="5812" w:type="dxa"/>
            <w:vMerge/>
            <w:tcBorders>
              <w:top w:val="nil"/>
              <w:left w:val="nil"/>
              <w:bottom w:val="nil"/>
              <w:right w:val="nil"/>
            </w:tcBorders>
          </w:tcPr>
          <w:p w14:paraId="399B988A" w14:textId="77777777" w:rsidR="006458BE" w:rsidRPr="00957C11" w:rsidRDefault="006458BE" w:rsidP="00FD7EDD">
            <w:pPr>
              <w:spacing w:before="120"/>
              <w:jc w:val="both"/>
              <w:rPr>
                <w:iCs/>
                <w:color w:val="000000"/>
                <w:sz w:val="18"/>
                <w:szCs w:val="18"/>
              </w:rPr>
            </w:pPr>
          </w:p>
        </w:tc>
      </w:tr>
      <w:tr w:rsidR="006458BE" w14:paraId="5336AAF2" w14:textId="77777777" w:rsidTr="00FD7EDD">
        <w:trPr>
          <w:trHeight w:val="70"/>
          <w:jc w:val="center"/>
        </w:trPr>
        <w:tc>
          <w:tcPr>
            <w:tcW w:w="2802" w:type="dxa"/>
            <w:vMerge/>
            <w:tcBorders>
              <w:top w:val="single" w:sz="4" w:space="0" w:color="auto"/>
              <w:left w:val="nil"/>
              <w:bottom w:val="single" w:sz="4" w:space="0" w:color="auto"/>
              <w:right w:val="nil"/>
            </w:tcBorders>
          </w:tcPr>
          <w:p w14:paraId="7405D708" w14:textId="77777777" w:rsidR="006458BE" w:rsidRPr="007F286F" w:rsidRDefault="006458BE" w:rsidP="00FD7EDD">
            <w:pPr>
              <w:spacing w:before="120" w:after="120"/>
              <w:jc w:val="both"/>
              <w:rPr>
                <w:b/>
                <w:i/>
              </w:rPr>
            </w:pPr>
          </w:p>
        </w:tc>
        <w:tc>
          <w:tcPr>
            <w:tcW w:w="283" w:type="dxa"/>
            <w:vMerge/>
            <w:tcBorders>
              <w:top w:val="nil"/>
              <w:left w:val="nil"/>
              <w:bottom w:val="nil"/>
              <w:right w:val="nil"/>
            </w:tcBorders>
          </w:tcPr>
          <w:p w14:paraId="1F173276" w14:textId="77777777" w:rsidR="006458BE" w:rsidRDefault="006458BE" w:rsidP="00FD7EDD">
            <w:pPr>
              <w:spacing w:before="120"/>
              <w:jc w:val="both"/>
            </w:pPr>
          </w:p>
        </w:tc>
        <w:tc>
          <w:tcPr>
            <w:tcW w:w="5812" w:type="dxa"/>
            <w:tcBorders>
              <w:top w:val="nil"/>
              <w:left w:val="nil"/>
              <w:bottom w:val="single" w:sz="4" w:space="0" w:color="auto"/>
              <w:right w:val="nil"/>
            </w:tcBorders>
          </w:tcPr>
          <w:p w14:paraId="57F7A9B7" w14:textId="77777777" w:rsidR="006458BE" w:rsidRPr="00941203" w:rsidRDefault="006458BE" w:rsidP="00C552C7">
            <w:pPr>
              <w:spacing w:before="120" w:after="120"/>
              <w:rPr>
                <w:i/>
                <w:iCs/>
                <w:color w:val="000000"/>
                <w:sz w:val="18"/>
                <w:szCs w:val="18"/>
              </w:rPr>
            </w:pPr>
          </w:p>
        </w:tc>
      </w:tr>
      <w:tr w:rsidR="006458BE" w14:paraId="282F1331" w14:textId="77777777" w:rsidTr="00FD7EDD">
        <w:trPr>
          <w:jc w:val="center"/>
        </w:trPr>
        <w:tc>
          <w:tcPr>
            <w:tcW w:w="8897" w:type="dxa"/>
            <w:gridSpan w:val="3"/>
            <w:tcBorders>
              <w:top w:val="nil"/>
              <w:left w:val="nil"/>
              <w:bottom w:val="double" w:sz="4" w:space="0" w:color="auto"/>
              <w:right w:val="nil"/>
            </w:tcBorders>
          </w:tcPr>
          <w:p w14:paraId="7348DB1B" w14:textId="77F0932E" w:rsidR="006458BE" w:rsidRPr="00132F3D" w:rsidRDefault="006458BE" w:rsidP="00FD7EDD">
            <w:pPr>
              <w:spacing w:before="120" w:after="120"/>
              <w:rPr>
                <w:b/>
                <w:bCs/>
              </w:rPr>
            </w:pPr>
            <w:r w:rsidRPr="00132F3D">
              <w:rPr>
                <w:b/>
                <w:bCs/>
              </w:rPr>
              <w:t>Corresponding Author:</w:t>
            </w:r>
          </w:p>
          <w:p w14:paraId="36FC307B" w14:textId="5E69B579" w:rsidR="00860D9B" w:rsidRDefault="00860D9B" w:rsidP="00860D9B">
            <w:r>
              <w:t xml:space="preserve">* </w:t>
            </w:r>
            <w:proofErr w:type="spellStart"/>
            <w:r w:rsidR="003A248F" w:rsidRPr="00AE3924">
              <w:t>Dunya</w:t>
            </w:r>
            <w:proofErr w:type="spellEnd"/>
            <w:r w:rsidR="003A248F" w:rsidRPr="00AE3924">
              <w:t xml:space="preserve"> Ali Mustafa</w:t>
            </w:r>
            <w:r w:rsidR="006458BE" w:rsidRPr="00AE3924">
              <w:br/>
            </w:r>
            <w:r w:rsidR="00A6394C" w:rsidRPr="00AE3924">
              <w:t>Department of Radiological Techniques, Health and Medical Techniques College-Baghdad, Middle Technical University</w:t>
            </w:r>
            <w:r>
              <w:t xml:space="preserve">, </w:t>
            </w:r>
            <w:r w:rsidR="006458BE" w:rsidRPr="00AE3924">
              <w:t xml:space="preserve">Baghdad, Iraq </w:t>
            </w:r>
            <w:r w:rsidR="006458BE" w:rsidRPr="00AE3924">
              <w:br/>
            </w:r>
            <w:r>
              <w:t xml:space="preserve">Email: </w:t>
            </w:r>
            <w:hyperlink r:id="rId8" w:history="1">
              <w:r w:rsidRPr="009E0F14">
                <w:rPr>
                  <w:rStyle w:val="Hyperlink"/>
                </w:rPr>
                <w:t xml:space="preserve">dunya.ali@mtu.edu.iq </w:t>
              </w:r>
            </w:hyperlink>
          </w:p>
          <w:p w14:paraId="4D0A88CE" w14:textId="634B4970" w:rsidR="00860D9B" w:rsidRPr="00860D9B" w:rsidRDefault="00860D9B" w:rsidP="00860D9B">
            <w:pPr>
              <w:rPr>
                <w:sz w:val="8"/>
                <w:szCs w:val="8"/>
              </w:rPr>
            </w:pPr>
          </w:p>
        </w:tc>
      </w:tr>
    </w:tbl>
    <w:p w14:paraId="30FFF5CD" w14:textId="77777777" w:rsidR="006458BE" w:rsidRPr="00FB6914" w:rsidRDefault="006458BE" w:rsidP="006458BE">
      <w:pPr>
        <w:jc w:val="both"/>
        <w:rPr>
          <w:sz w:val="12"/>
          <w:szCs w:val="12"/>
        </w:rPr>
      </w:pPr>
    </w:p>
    <w:p w14:paraId="66857962" w14:textId="77777777" w:rsidR="006458BE" w:rsidRPr="00FB6914" w:rsidRDefault="006458BE" w:rsidP="006458BE">
      <w:pPr>
        <w:jc w:val="both"/>
        <w:rPr>
          <w:sz w:val="12"/>
          <w:szCs w:val="12"/>
        </w:rPr>
      </w:pPr>
    </w:p>
    <w:p w14:paraId="298EA27C" w14:textId="6DE93721" w:rsidR="006458BE" w:rsidRPr="00FB6914" w:rsidRDefault="00FB6914" w:rsidP="00FB6914">
      <w:pPr>
        <w:tabs>
          <w:tab w:val="left" w:pos="284"/>
        </w:tabs>
        <w:rPr>
          <w:b/>
          <w:bCs/>
          <w:sz w:val="22"/>
          <w:szCs w:val="22"/>
          <w:lang w:val="id-ID"/>
        </w:rPr>
      </w:pPr>
      <w:r w:rsidRPr="00FB6914">
        <w:rPr>
          <w:b/>
          <w:bCs/>
          <w:sz w:val="22"/>
          <w:szCs w:val="22"/>
          <w:lang w:val="en-GB"/>
        </w:rPr>
        <w:t xml:space="preserve">1- </w:t>
      </w:r>
      <w:r w:rsidR="006458BE" w:rsidRPr="00FB6914">
        <w:rPr>
          <w:b/>
          <w:bCs/>
          <w:sz w:val="22"/>
          <w:szCs w:val="22"/>
          <w:lang w:val="id-ID"/>
        </w:rPr>
        <w:t>INTRODUCTION</w:t>
      </w:r>
      <w:r w:rsidR="006458BE" w:rsidRPr="00FB6914">
        <w:rPr>
          <w:b/>
          <w:bCs/>
          <w:sz w:val="22"/>
          <w:szCs w:val="22"/>
        </w:rPr>
        <w:t xml:space="preserve"> </w:t>
      </w:r>
    </w:p>
    <w:p w14:paraId="5A83BBA2" w14:textId="77777777" w:rsidR="00FB6914" w:rsidRPr="00FB6914" w:rsidRDefault="00FB6914" w:rsidP="009715EA">
      <w:pPr>
        <w:jc w:val="both"/>
        <w:rPr>
          <w:sz w:val="12"/>
          <w:szCs w:val="12"/>
        </w:rPr>
      </w:pPr>
    </w:p>
    <w:p w14:paraId="02500D9A" w14:textId="4B6668BB" w:rsidR="001416F1" w:rsidRDefault="001416F1" w:rsidP="00FB6914">
      <w:pPr>
        <w:ind w:firstLine="720"/>
        <w:jc w:val="both"/>
      </w:pPr>
      <w:r>
        <w:t>Breast cancer, has a high prevalence, ranks among the lead to cause morbidity and mortality among women around the world. Diagnosis at an early stage is a key factor in making the overall outcome of the disease better [1]. Mammography is the mainstay of breast cancer screening programs and is essential for detecting early changes leading up to the conversion to malignant disease. Although screening protocols have been standardized, patient-specific risk factor profiles can vary substantially from one individual to another and influence the chance of a positive mammographic result [2].</w:t>
      </w:r>
      <w:r w:rsidR="00FB6914">
        <w:t xml:space="preserve"> </w:t>
      </w:r>
    </w:p>
    <w:p w14:paraId="673084E0" w14:textId="77777777" w:rsidR="00FB6914" w:rsidRPr="00FB6914" w:rsidRDefault="00FB6914" w:rsidP="00FB6914">
      <w:pPr>
        <w:jc w:val="both"/>
        <w:rPr>
          <w:sz w:val="12"/>
          <w:szCs w:val="12"/>
        </w:rPr>
      </w:pPr>
    </w:p>
    <w:p w14:paraId="54268477" w14:textId="6F78722B" w:rsidR="001416F1" w:rsidRDefault="001416F1" w:rsidP="00E966C3">
      <w:pPr>
        <w:jc w:val="both"/>
      </w:pPr>
      <w:r>
        <w:t xml:space="preserve">Breast cancer is a heterogeneous disease, and many population-based studies have found multiple demographic, reproductive, and lifestyle-related factors to be significant risk factors for it, including increasing age, family history, reproductive history, and obesity [3, 4]. Moreover, mammographic features like breast density and </w:t>
      </w:r>
      <w:proofErr w:type="spellStart"/>
      <w:r>
        <w:t>microcalcifications</w:t>
      </w:r>
      <w:proofErr w:type="spellEnd"/>
      <w:r>
        <w:t xml:space="preserve"> are important indicators to differentiate benign from malignant lesions. Previous studies assessed these predictors </w:t>
      </w:r>
      <w:r>
        <w:lastRenderedPageBreak/>
        <w:t>separately; however, limited research has integrated these risk factors and investigated the association between these predictors in a clinical population with a strong multivariable statistical method</w:t>
      </w:r>
      <w:r w:rsidR="00E966C3">
        <w:t xml:space="preserve"> </w:t>
      </w:r>
      <w:r>
        <w:t>[5</w:t>
      </w:r>
      <w:r w:rsidR="00E966C3">
        <w:t>-</w:t>
      </w:r>
      <w:r>
        <w:t xml:space="preserve"> 9].</w:t>
      </w:r>
      <w:r w:rsidR="00FB6914">
        <w:t xml:space="preserve"> </w:t>
      </w:r>
    </w:p>
    <w:p w14:paraId="32CCA23B" w14:textId="77777777" w:rsidR="00FB6914" w:rsidRPr="00FB6914" w:rsidRDefault="00FB6914" w:rsidP="00E966C3">
      <w:pPr>
        <w:jc w:val="both"/>
        <w:rPr>
          <w:sz w:val="12"/>
          <w:szCs w:val="12"/>
        </w:rPr>
      </w:pPr>
    </w:p>
    <w:p w14:paraId="002B3BA7" w14:textId="67555CDF" w:rsidR="006458BE" w:rsidRPr="003D6B19" w:rsidRDefault="001416F1" w:rsidP="0039721C">
      <w:pPr>
        <w:jc w:val="both"/>
      </w:pPr>
      <w:r>
        <w:t>The study aim is to find the frequency of risk factors in the general population who receive routine screening mammograms as well as the association of each risk factor with breast tumors [10]. In particular, this work highlights the combination of demographic and historical clinical and imaging data towards a more granular risk stratification that could be utilized for clinical dec</w:t>
      </w:r>
      <w:r w:rsidR="000A1ED4">
        <w:t>ision-making. Women with localiz</w:t>
      </w:r>
      <w:r>
        <w:t>ed breast neoplasia</w:t>
      </w:r>
      <w:r w:rsidR="0039721C">
        <w:t>;</w:t>
      </w:r>
      <w:r w:rsidR="000A1ED4">
        <w:t xml:space="preserve"> </w:t>
      </w:r>
      <w:r w:rsidR="0039721C">
        <w:t>t</w:t>
      </w:r>
      <w:r>
        <w:t>he study hypothesis proposes groupings of demographic risk indicators that, when assessed by means of multivariate logistic regression, will be statistically significant predictors of breast neoplasia. This may improve the clinical practice of mammography by identifying cases at risk of being missed, thereby promoting earlier treatment.</w:t>
      </w:r>
      <w:r w:rsidR="00FB6914">
        <w:t xml:space="preserve"> </w:t>
      </w:r>
    </w:p>
    <w:p w14:paraId="159C3390" w14:textId="77777777" w:rsidR="006458BE" w:rsidRDefault="006458BE" w:rsidP="006458BE">
      <w:pPr>
        <w:jc w:val="both"/>
        <w:rPr>
          <w:sz w:val="12"/>
          <w:szCs w:val="12"/>
        </w:rPr>
      </w:pPr>
    </w:p>
    <w:p w14:paraId="53620389" w14:textId="77777777" w:rsidR="00FB6914" w:rsidRPr="00FB6914" w:rsidRDefault="00FB6914" w:rsidP="006458BE">
      <w:pPr>
        <w:jc w:val="both"/>
        <w:rPr>
          <w:sz w:val="12"/>
          <w:szCs w:val="12"/>
        </w:rPr>
      </w:pPr>
    </w:p>
    <w:p w14:paraId="2472D024" w14:textId="722E8FFC" w:rsidR="006458BE" w:rsidRPr="00FB6914" w:rsidRDefault="00FB6914" w:rsidP="00FB6914">
      <w:pPr>
        <w:tabs>
          <w:tab w:val="left" w:pos="284"/>
        </w:tabs>
        <w:rPr>
          <w:b/>
          <w:bCs/>
          <w:sz w:val="22"/>
          <w:szCs w:val="22"/>
          <w:lang w:val="id-ID"/>
        </w:rPr>
      </w:pPr>
      <w:r w:rsidRPr="00FB6914">
        <w:rPr>
          <w:b/>
          <w:bCs/>
          <w:sz w:val="22"/>
          <w:szCs w:val="22"/>
          <w:lang w:val="en-GB"/>
        </w:rPr>
        <w:t xml:space="preserve">2- </w:t>
      </w:r>
      <w:r w:rsidR="006458BE" w:rsidRPr="00FB6914">
        <w:rPr>
          <w:b/>
          <w:bCs/>
          <w:sz w:val="22"/>
          <w:szCs w:val="22"/>
          <w:lang w:val="id-ID"/>
        </w:rPr>
        <w:t>METHOD</w:t>
      </w:r>
      <w:r w:rsidR="006458BE" w:rsidRPr="00FB6914">
        <w:rPr>
          <w:b/>
          <w:bCs/>
          <w:sz w:val="22"/>
          <w:szCs w:val="22"/>
        </w:rPr>
        <w:t xml:space="preserve"> </w:t>
      </w:r>
    </w:p>
    <w:p w14:paraId="78E8D756" w14:textId="6F361D33" w:rsidR="00D970CE" w:rsidRPr="00FB6914" w:rsidRDefault="00D970CE" w:rsidP="00D970CE">
      <w:pPr>
        <w:rPr>
          <w:sz w:val="12"/>
          <w:szCs w:val="12"/>
        </w:rPr>
      </w:pPr>
      <w:bookmarkStart w:id="1" w:name="_Hlk78354375"/>
      <w:bookmarkStart w:id="2" w:name="_Hlk78354310"/>
    </w:p>
    <w:p w14:paraId="1799E6D8" w14:textId="6950B767" w:rsidR="00D970CE" w:rsidRPr="00C05AB7" w:rsidRDefault="00D970CE" w:rsidP="00C05AB7">
      <w:pPr>
        <w:pStyle w:val="ListParagraph"/>
        <w:numPr>
          <w:ilvl w:val="1"/>
          <w:numId w:val="1"/>
        </w:numPr>
        <w:ind w:left="426" w:hanging="426"/>
        <w:rPr>
          <w:b/>
          <w:bCs/>
        </w:rPr>
      </w:pPr>
      <w:r w:rsidRPr="00C05AB7">
        <w:rPr>
          <w:b/>
          <w:bCs/>
        </w:rPr>
        <w:t>Study Design and Patient Population</w:t>
      </w:r>
    </w:p>
    <w:p w14:paraId="281FFD17" w14:textId="77777777" w:rsidR="00FB6914" w:rsidRPr="00FB6914" w:rsidRDefault="00FB6914" w:rsidP="00DA0E76">
      <w:pPr>
        <w:jc w:val="lowKashida"/>
        <w:rPr>
          <w:sz w:val="8"/>
          <w:szCs w:val="8"/>
        </w:rPr>
      </w:pPr>
    </w:p>
    <w:p w14:paraId="0639B5D4" w14:textId="11823F23" w:rsidR="00D970CE" w:rsidRDefault="00D970CE" w:rsidP="00DA0E76">
      <w:pPr>
        <w:jc w:val="lowKashida"/>
      </w:pPr>
      <w:r w:rsidRPr="00D970CE">
        <w:t>This is</w:t>
      </w:r>
      <w:r w:rsidRPr="00D970CE">
        <w:t> </w:t>
      </w:r>
      <w:r w:rsidRPr="00D970CE">
        <w:t>a cross-sectional study carried out at an oncology teaching hospital, Iraq, on 100 consecutive female participants referred for diagnostic mammography. The study</w:t>
      </w:r>
      <w:r w:rsidRPr="00D970CE">
        <w:t> </w:t>
      </w:r>
      <w:r w:rsidRPr="00D970CE">
        <w:t>lasted for half a year, from September 2024 to February 2025. Informed consent for the study, both verbal and written, was obtained from participants, and</w:t>
      </w:r>
      <w:r w:rsidRPr="00D970CE">
        <w:t> </w:t>
      </w:r>
      <w:r w:rsidRPr="00D970CE">
        <w:t>inclusion criteria included patients older than 30 years of age. To avoid this confounding effect, we excluded patients with a previous breast cancer history or patients with</w:t>
      </w:r>
      <w:r w:rsidRPr="00D970CE">
        <w:t> </w:t>
      </w:r>
      <w:r w:rsidRPr="00D970CE">
        <w:t>a history of mastectomy. The data and personal information of</w:t>
      </w:r>
      <w:r w:rsidRPr="00D970CE">
        <w:t> </w:t>
      </w:r>
      <w:r w:rsidRPr="00D970CE">
        <w:t>the participants remained confidential. Ethical approval was granted from the Training and Human</w:t>
      </w:r>
      <w:r w:rsidRPr="00D970CE">
        <w:t> </w:t>
      </w:r>
      <w:r w:rsidRPr="00D970CE">
        <w:t>Development Center-Educational Medical City Dept., Ministry of Health-Baghdad.</w:t>
      </w:r>
      <w:r w:rsidR="000A1ED4">
        <w:t xml:space="preserve"> </w:t>
      </w:r>
    </w:p>
    <w:p w14:paraId="49D52892" w14:textId="77777777" w:rsidR="000A1ED4" w:rsidRPr="000A1ED4" w:rsidRDefault="000A1ED4" w:rsidP="00DA0E76">
      <w:pPr>
        <w:jc w:val="lowKashida"/>
        <w:rPr>
          <w:sz w:val="12"/>
          <w:szCs w:val="12"/>
        </w:rPr>
      </w:pPr>
    </w:p>
    <w:p w14:paraId="6F0132D2" w14:textId="25C2974B" w:rsidR="00D970CE" w:rsidRPr="00D970CE" w:rsidRDefault="00DB792A" w:rsidP="00015FD0">
      <w:pPr>
        <w:jc w:val="lowKashida"/>
      </w:pPr>
      <w:r w:rsidRPr="00DB792A">
        <w:t>Standardized information outlining potential risk factors included demographic variables such as age, body mass index, and the presence of a family history of breast cancer. Additionally, it encompassed reproductive history, including parity and age at first full-term pregnancy, as well as hormonal factors, which involved a history of hormone treatment and the use of oral contraceptives.</w:t>
      </w:r>
      <w:r>
        <w:t xml:space="preserve"> </w:t>
      </w:r>
      <w:r w:rsidR="00D970CE" w:rsidRPr="00D970CE">
        <w:t>We collected clinical data using standardized, content-validated</w:t>
      </w:r>
      <w:r w:rsidR="00D970CE" w:rsidRPr="00D970CE">
        <w:t> </w:t>
      </w:r>
      <w:r w:rsidR="00D970CE" w:rsidRPr="00D970CE">
        <w:t>questionnaires.</w:t>
      </w:r>
      <w:r w:rsidR="0089777F">
        <w:t xml:space="preserve"> </w:t>
      </w:r>
    </w:p>
    <w:p w14:paraId="6EBB0E0F" w14:textId="77777777" w:rsidR="00C05AB7" w:rsidRPr="0089777F" w:rsidRDefault="00C05AB7" w:rsidP="00D970CE">
      <w:pPr>
        <w:rPr>
          <w:sz w:val="8"/>
          <w:szCs w:val="8"/>
        </w:rPr>
      </w:pPr>
    </w:p>
    <w:p w14:paraId="1C0793F5" w14:textId="191745B2" w:rsidR="00D970CE" w:rsidRPr="00C05AB7" w:rsidRDefault="00C05AB7" w:rsidP="00D970CE">
      <w:pPr>
        <w:rPr>
          <w:b/>
          <w:bCs/>
        </w:rPr>
      </w:pPr>
      <w:r w:rsidRPr="00C05AB7">
        <w:rPr>
          <w:b/>
          <w:bCs/>
        </w:rPr>
        <w:t xml:space="preserve">2.2. </w:t>
      </w:r>
      <w:r w:rsidR="00D970CE" w:rsidRPr="00C05AB7">
        <w:rPr>
          <w:b/>
          <w:bCs/>
        </w:rPr>
        <w:t>Mammographic Imaging and Data Collection</w:t>
      </w:r>
    </w:p>
    <w:p w14:paraId="69C3E69B" w14:textId="3532E832" w:rsidR="00D970CE" w:rsidRPr="00D970CE" w:rsidRDefault="00015FD0" w:rsidP="008F19D8">
      <w:pPr>
        <w:jc w:val="lowKashida"/>
      </w:pPr>
      <w:r>
        <w:t>M</w:t>
      </w:r>
      <w:r w:rsidR="00D970CE" w:rsidRPr="00D970CE">
        <w:t>ammography stud</w:t>
      </w:r>
      <w:r w:rsidR="008F19D8">
        <w:t>y</w:t>
      </w:r>
      <w:r w:rsidR="00D970CE" w:rsidRPr="00D970CE">
        <w:t xml:space="preserve"> </w:t>
      </w:r>
      <w:r w:rsidR="008F19D8">
        <w:t>was</w:t>
      </w:r>
      <w:r w:rsidR="00D970CE" w:rsidRPr="00D970CE">
        <w:t xml:space="preserve"> performed using</w:t>
      </w:r>
      <w:r w:rsidR="00D970CE" w:rsidRPr="00D970CE">
        <w:t> </w:t>
      </w:r>
      <w:r w:rsidR="00D970CE" w:rsidRPr="00D970CE">
        <w:t xml:space="preserve">contemporary digital mammography system, and the images were interpreted independently by two experienced breast imaging radiologists. Imaging findings were recorded, including density of the breast according to the BI-RADS classification system, </w:t>
      </w:r>
      <w:proofErr w:type="spellStart"/>
      <w:r w:rsidR="00D970CE" w:rsidRPr="00D970CE">
        <w:t>microcalcification</w:t>
      </w:r>
      <w:proofErr w:type="spellEnd"/>
      <w:r w:rsidR="00D970CE" w:rsidRPr="00D970CE">
        <w:t> </w:t>
      </w:r>
      <w:r w:rsidR="00D970CE" w:rsidRPr="00D970CE">
        <w:t>type, mass margins, and other critical characteristics. Disagreements between radiologists were settled by consensus. Where</w:t>
      </w:r>
      <w:r w:rsidR="00D970CE" w:rsidRPr="00D970CE">
        <w:t> </w:t>
      </w:r>
      <w:r w:rsidR="00D970CE" w:rsidRPr="00D970CE">
        <w:t>clinical pathology reports were available, they were integrated to confirm the imaging findings. Imaging was classified as benign, suspicious, or highly suggestive of malignancy based on accepted radiological criteria [11</w:t>
      </w:r>
      <w:r w:rsidR="00713094">
        <w:t>-</w:t>
      </w:r>
      <w:r w:rsidR="00D970CE" w:rsidRPr="00D970CE">
        <w:t>13].</w:t>
      </w:r>
      <w:r w:rsidR="0089777F">
        <w:t xml:space="preserve"> </w:t>
      </w:r>
    </w:p>
    <w:p w14:paraId="34A425D2" w14:textId="77777777" w:rsidR="00C05AB7" w:rsidRPr="0089777F" w:rsidRDefault="00C05AB7" w:rsidP="00D970CE">
      <w:pPr>
        <w:rPr>
          <w:sz w:val="8"/>
          <w:szCs w:val="8"/>
        </w:rPr>
      </w:pPr>
    </w:p>
    <w:p w14:paraId="1B72C8E3" w14:textId="0DEA2DF6" w:rsidR="00D970CE" w:rsidRPr="00C05AB7" w:rsidRDefault="00C05AB7" w:rsidP="00D970CE">
      <w:pPr>
        <w:rPr>
          <w:b/>
          <w:bCs/>
        </w:rPr>
      </w:pPr>
      <w:r w:rsidRPr="00C05AB7">
        <w:rPr>
          <w:b/>
          <w:bCs/>
        </w:rPr>
        <w:t xml:space="preserve">2.3. </w:t>
      </w:r>
      <w:r w:rsidR="00D970CE" w:rsidRPr="00C05AB7">
        <w:rPr>
          <w:b/>
          <w:bCs/>
        </w:rPr>
        <w:t>Statistical Analysis</w:t>
      </w:r>
    </w:p>
    <w:p w14:paraId="1D917A9E" w14:textId="1F146A6E" w:rsidR="00D970CE" w:rsidRDefault="00D970CE" w:rsidP="00B96313">
      <w:pPr>
        <w:jc w:val="lowKashida"/>
      </w:pPr>
      <w:r w:rsidRPr="00D970CE">
        <w:t>A single</w:t>
      </w:r>
      <w:proofErr w:type="gramStart"/>
      <w:r w:rsidRPr="00D970CE">
        <w:t>,</w:t>
      </w:r>
      <w:proofErr w:type="gramEnd"/>
      <w:r w:rsidRPr="00D970CE">
        <w:t> </w:t>
      </w:r>
      <w:r w:rsidRPr="00D970CE">
        <w:t>standardized software was used to perform the statistical analysis of the data; demographic and clinical data were summarized using</w:t>
      </w:r>
      <w:r w:rsidRPr="00D970CE">
        <w:t> </w:t>
      </w:r>
      <w:r w:rsidRPr="00D970CE">
        <w:t>descriptive statistics. Continuous variables (i.e., age and BMI) were reported as means ± standard</w:t>
      </w:r>
      <w:r w:rsidRPr="00D970CE">
        <w:t> </w:t>
      </w:r>
      <w:r w:rsidRPr="00D970CE">
        <w:t>deviations, whereas categorical variables were expressed as frequencies and percentages.</w:t>
      </w:r>
      <w:r w:rsidR="00B75329">
        <w:t xml:space="preserve"> </w:t>
      </w:r>
    </w:p>
    <w:p w14:paraId="172C71BF" w14:textId="77777777" w:rsidR="00B75329" w:rsidRPr="00B75329" w:rsidRDefault="00B75329" w:rsidP="00B96313">
      <w:pPr>
        <w:jc w:val="lowKashida"/>
        <w:rPr>
          <w:sz w:val="12"/>
          <w:szCs w:val="12"/>
        </w:rPr>
      </w:pPr>
    </w:p>
    <w:p w14:paraId="7119C42E" w14:textId="770758B4" w:rsidR="00D970CE" w:rsidRPr="00D970CE" w:rsidRDefault="00D970CE" w:rsidP="00B96313">
      <w:pPr>
        <w:jc w:val="lowKashida"/>
      </w:pPr>
      <w:r w:rsidRPr="00D970CE">
        <w:t>The main analyses were multivariate logistic regressions assessing the relationships between the different risk factors and detection of</w:t>
      </w:r>
      <w:r w:rsidRPr="00D970CE">
        <w:t> </w:t>
      </w:r>
      <w:r w:rsidRPr="00D970CE">
        <w:t>a breast tumor on mammography [14</w:t>
      </w:r>
      <w:r w:rsidR="00573E01">
        <w:t>-</w:t>
      </w:r>
      <w:r w:rsidRPr="00D970CE">
        <w:t>15]. In the logistic regression model, independent</w:t>
      </w:r>
      <w:r w:rsidRPr="00D970CE">
        <w:t> </w:t>
      </w:r>
      <w:r w:rsidRPr="00D970CE">
        <w:t xml:space="preserve">variables included age, BMI, family history of breast cancer, reproductive factors, and specific mammographic findings. </w:t>
      </w:r>
      <w:proofErr w:type="gramStart"/>
      <w:r w:rsidRPr="00D970CE">
        <w:t>Model</w:t>
      </w:r>
      <w:r w:rsidR="0089777F">
        <w:t>l</w:t>
      </w:r>
      <w:r w:rsidRPr="00D970CE">
        <w:t>ed as odds ratios (OR) with</w:t>
      </w:r>
      <w:r w:rsidRPr="00D970CE">
        <w:t> </w:t>
      </w:r>
      <w:r w:rsidRPr="00D970CE">
        <w:t>95% confidence intervals (CI).</w:t>
      </w:r>
      <w:proofErr w:type="gramEnd"/>
      <w:r w:rsidRPr="00D970CE">
        <w:t xml:space="preserve"> Significant predictors were defined as those with a p-value of less than 0.05 who achieved a specified</w:t>
      </w:r>
      <w:r w:rsidRPr="00D970CE">
        <w:t> </w:t>
      </w:r>
      <w:r w:rsidRPr="00D970CE">
        <w:t>significance level during the forward stepwise variable selection approach.</w:t>
      </w:r>
    </w:p>
    <w:p w14:paraId="04880F2D" w14:textId="77777777" w:rsidR="00D970CE" w:rsidRDefault="00D970CE" w:rsidP="00B96313">
      <w:pPr>
        <w:jc w:val="lowKashida"/>
      </w:pPr>
      <w:r w:rsidRPr="00D970CE">
        <w:t>To ensure calibration, we validated model adequacy with Hosmer-</w:t>
      </w:r>
      <w:proofErr w:type="spellStart"/>
      <w:r w:rsidRPr="00D970CE">
        <w:t>Lemeshow</w:t>
      </w:r>
      <w:proofErr w:type="spellEnd"/>
      <w:r w:rsidRPr="00D970CE">
        <w:t> </w:t>
      </w:r>
      <w:r w:rsidRPr="00D970CE">
        <w:t>goodness-of-fit tests. In addition, possible interactions between risk factors are assessed for their potential synergistic effect</w:t>
      </w:r>
      <w:r w:rsidRPr="00D970CE">
        <w:t> </w:t>
      </w:r>
      <w:r w:rsidRPr="00D970CE">
        <w:t>for enhanced prediction.</w:t>
      </w:r>
    </w:p>
    <w:p w14:paraId="184BC0E2" w14:textId="77777777" w:rsidR="00C05AB7" w:rsidRPr="0089777F" w:rsidRDefault="00C05AB7" w:rsidP="00D970CE">
      <w:pPr>
        <w:rPr>
          <w:sz w:val="12"/>
          <w:szCs w:val="12"/>
        </w:rPr>
      </w:pPr>
    </w:p>
    <w:bookmarkEnd w:id="1"/>
    <w:p w14:paraId="5F509A21" w14:textId="639F955F" w:rsidR="006458BE" w:rsidRPr="0089777F" w:rsidRDefault="006458BE" w:rsidP="00D473F0">
      <w:pPr>
        <w:rPr>
          <w:noProof/>
          <w:sz w:val="12"/>
          <w:szCs w:val="12"/>
        </w:rPr>
      </w:pPr>
    </w:p>
    <w:bookmarkEnd w:id="2"/>
    <w:p w14:paraId="3235CC24" w14:textId="7D0298BB" w:rsidR="006458BE" w:rsidRPr="0089777F" w:rsidRDefault="0089777F" w:rsidP="0089777F">
      <w:pPr>
        <w:tabs>
          <w:tab w:val="left" w:pos="284"/>
        </w:tabs>
        <w:rPr>
          <w:b/>
          <w:bCs/>
          <w:sz w:val="22"/>
          <w:szCs w:val="22"/>
          <w:lang w:val="id-ID"/>
        </w:rPr>
      </w:pPr>
      <w:r w:rsidRPr="0089777F">
        <w:rPr>
          <w:b/>
          <w:bCs/>
          <w:sz w:val="22"/>
          <w:szCs w:val="22"/>
          <w:lang w:val="en-GB"/>
        </w:rPr>
        <w:t xml:space="preserve">3- </w:t>
      </w:r>
      <w:r w:rsidR="006458BE" w:rsidRPr="0089777F">
        <w:rPr>
          <w:b/>
          <w:bCs/>
          <w:sz w:val="22"/>
          <w:szCs w:val="22"/>
          <w:lang w:val="id-ID"/>
        </w:rPr>
        <w:t>RESULTS AND DISCUSSION</w:t>
      </w:r>
      <w:r w:rsidR="006458BE" w:rsidRPr="0089777F">
        <w:rPr>
          <w:b/>
          <w:bCs/>
          <w:sz w:val="22"/>
          <w:szCs w:val="22"/>
        </w:rPr>
        <w:t xml:space="preserve"> </w:t>
      </w:r>
    </w:p>
    <w:p w14:paraId="6D43C0B8" w14:textId="77777777" w:rsidR="00B75329" w:rsidRPr="00B75329" w:rsidRDefault="00B75329" w:rsidP="006458BE">
      <w:pPr>
        <w:rPr>
          <w:sz w:val="12"/>
          <w:szCs w:val="12"/>
        </w:rPr>
      </w:pPr>
    </w:p>
    <w:p w14:paraId="720F75ED" w14:textId="04F6A858" w:rsidR="00EE0722" w:rsidRPr="00EE0722" w:rsidRDefault="00EE0722" w:rsidP="00EE0722">
      <w:r>
        <w:rPr>
          <w:b/>
          <w:bCs/>
        </w:rPr>
        <w:t xml:space="preserve">3.1. </w:t>
      </w:r>
      <w:r w:rsidRPr="00EE0722">
        <w:rPr>
          <w:b/>
          <w:bCs/>
        </w:rPr>
        <w:t>Patient Demographics and Clinical Characteristics</w:t>
      </w:r>
    </w:p>
    <w:p w14:paraId="19F2E6D1" w14:textId="77777777" w:rsidR="00B75329" w:rsidRPr="00B75329" w:rsidRDefault="00B75329" w:rsidP="00122E43">
      <w:pPr>
        <w:jc w:val="lowKashida"/>
        <w:rPr>
          <w:sz w:val="8"/>
          <w:szCs w:val="8"/>
        </w:rPr>
      </w:pPr>
    </w:p>
    <w:p w14:paraId="562BEE5F" w14:textId="168D9055" w:rsidR="00EE0722" w:rsidRDefault="00EE0722" w:rsidP="00122E43">
      <w:pPr>
        <w:jc w:val="lowKashida"/>
      </w:pPr>
      <w:r w:rsidRPr="00EE0722">
        <w:t>100 female patients were included</w:t>
      </w:r>
      <w:r w:rsidRPr="00EE0722">
        <w:t> </w:t>
      </w:r>
      <w:r w:rsidRPr="00EE0722">
        <w:t>with a mean age of 52.3 ± 10.7 years were evaluated in this study. When observing the distribution of patients by age group, we found that 45% of patients were aged between 40 and 50 years, 35% were</w:t>
      </w:r>
      <w:r w:rsidRPr="00EE0722">
        <w:t> </w:t>
      </w:r>
      <w:r w:rsidRPr="00EE0722">
        <w:t xml:space="preserve">aged between 51 and 60 years, and the rest were patients aged 60 years or older, as shown in </w:t>
      </w:r>
      <w:r w:rsidR="00594CF8">
        <w:t>[</w:t>
      </w:r>
      <w:r w:rsidRPr="00EE0722">
        <w:t>Figure 1</w:t>
      </w:r>
      <w:r w:rsidR="00594CF8">
        <w:t>]</w:t>
      </w:r>
      <w:r w:rsidRPr="00EE0722">
        <w:t>. About 30% of all subjects had a positive family history</w:t>
      </w:r>
      <w:r w:rsidRPr="00EE0722">
        <w:t> </w:t>
      </w:r>
      <w:r w:rsidRPr="00EE0722">
        <w:t xml:space="preserve">for breast cancer. The </w:t>
      </w:r>
      <w:r w:rsidR="00122E43">
        <w:t>study</w:t>
      </w:r>
      <w:r w:rsidRPr="00EE0722">
        <w:t xml:space="preserve"> had a mean BMI of 27.8</w:t>
      </w:r>
      <w:r w:rsidRPr="00EE0722">
        <w:t> </w:t>
      </w:r>
      <w:r w:rsidRPr="00EE0722">
        <w:t>± 4.5 kg/m².</w:t>
      </w:r>
      <w:r w:rsidR="00B75329">
        <w:t xml:space="preserve"> </w:t>
      </w:r>
    </w:p>
    <w:p w14:paraId="35410DCF" w14:textId="77777777" w:rsidR="008D1924" w:rsidRDefault="008D1924" w:rsidP="00392B84">
      <w:pPr>
        <w:jc w:val="lowKashida"/>
      </w:pPr>
    </w:p>
    <w:p w14:paraId="0C1E63D2" w14:textId="77777777" w:rsidR="00AF3E9B" w:rsidRDefault="00AF3E9B" w:rsidP="00392B84">
      <w:pPr>
        <w:jc w:val="lowKashida"/>
      </w:pPr>
    </w:p>
    <w:p w14:paraId="04E83101" w14:textId="77777777" w:rsidR="00AF3E9B" w:rsidRDefault="00AF3E9B" w:rsidP="00392B84">
      <w:pPr>
        <w:jc w:val="lowKashida"/>
      </w:pPr>
    </w:p>
    <w:p w14:paraId="1BBB7CC4" w14:textId="77777777" w:rsidR="008D1924" w:rsidRPr="00EE0722" w:rsidRDefault="008D1924" w:rsidP="00EE0722"/>
    <w:p w14:paraId="6E64944A" w14:textId="77777777" w:rsidR="00EE0722" w:rsidRPr="00EE0722" w:rsidRDefault="00EE0722" w:rsidP="00AF3E9B">
      <w:pPr>
        <w:jc w:val="center"/>
      </w:pPr>
      <w:r w:rsidRPr="00EE0722">
        <w:rPr>
          <w:noProof/>
        </w:rPr>
        <w:lastRenderedPageBreak/>
        <w:drawing>
          <wp:inline distT="0" distB="0" distL="0" distR="0" wp14:anchorId="288C486E" wp14:editId="03D7463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ACB24D" w14:textId="77777777" w:rsidR="00AF3E9B" w:rsidRPr="00AF3E9B" w:rsidRDefault="00AF3E9B" w:rsidP="00EE0722">
      <w:pPr>
        <w:rPr>
          <w:b/>
          <w:bCs/>
          <w:sz w:val="12"/>
          <w:szCs w:val="12"/>
          <w:lang w:val="en"/>
        </w:rPr>
      </w:pPr>
    </w:p>
    <w:p w14:paraId="2399DCA9" w14:textId="77777777" w:rsidR="00EE0722" w:rsidRPr="00EE0722" w:rsidRDefault="00EE0722" w:rsidP="00AF3E9B">
      <w:pPr>
        <w:jc w:val="center"/>
        <w:rPr>
          <w:b/>
          <w:bCs/>
          <w:lang w:val="en"/>
        </w:rPr>
      </w:pPr>
      <w:r w:rsidRPr="00EE0722">
        <w:rPr>
          <w:b/>
          <w:bCs/>
          <w:lang w:val="en"/>
        </w:rPr>
        <w:t>Figure 1: Distribution of patients according to age groups</w:t>
      </w:r>
    </w:p>
    <w:p w14:paraId="42BEF1E1" w14:textId="77777777" w:rsidR="00EE0722" w:rsidRPr="00AF3E9B" w:rsidRDefault="00EE0722" w:rsidP="00EE0722">
      <w:pPr>
        <w:rPr>
          <w:sz w:val="12"/>
          <w:szCs w:val="12"/>
        </w:rPr>
      </w:pPr>
    </w:p>
    <w:p w14:paraId="00F28338" w14:textId="28993A88" w:rsidR="008D1924" w:rsidRDefault="008D1924" w:rsidP="00594CF8">
      <w:pPr>
        <w:jc w:val="lowKashida"/>
      </w:pPr>
      <w:r w:rsidRPr="00EE0722">
        <w:t>In reproductive history, 60% of women had childbearing before age 30, and 25% had delayed first pregnancy (after age</w:t>
      </w:r>
      <w:r w:rsidRPr="00EE0722">
        <w:t> </w:t>
      </w:r>
      <w:r w:rsidRPr="00EE0722">
        <w:t>35). Twenty percent of the cohort had a history of hormone replacement therapy (HRT), and 15% had a long-term history of using oral contraceptives after the age of</w:t>
      </w:r>
      <w:r w:rsidRPr="00EE0722">
        <w:t> </w:t>
      </w:r>
      <w:r w:rsidR="00F84770">
        <w:t xml:space="preserve">40 as shown in </w:t>
      </w:r>
      <w:r w:rsidR="00594CF8">
        <w:t>[F</w:t>
      </w:r>
      <w:r w:rsidR="00F84770">
        <w:t>igure 2</w:t>
      </w:r>
      <w:r w:rsidR="00594CF8">
        <w:t>]</w:t>
      </w:r>
      <w:r w:rsidRPr="00EE0722">
        <w:t>.</w:t>
      </w:r>
    </w:p>
    <w:p w14:paraId="3BD92F1A" w14:textId="77777777" w:rsidR="00F84770" w:rsidRPr="00EE0722" w:rsidRDefault="00F84770" w:rsidP="00F84770">
      <w:pPr>
        <w:jc w:val="lowKashida"/>
      </w:pPr>
    </w:p>
    <w:p w14:paraId="325215D0" w14:textId="7854B656" w:rsidR="00EE0722" w:rsidRDefault="00661273" w:rsidP="00AF3E9B">
      <w:pPr>
        <w:jc w:val="center"/>
        <w:rPr>
          <w:b/>
          <w:bCs/>
        </w:rPr>
      </w:pPr>
      <w:r>
        <w:rPr>
          <w:noProof/>
        </w:rPr>
        <w:drawing>
          <wp:inline distT="0" distB="0" distL="0" distR="0" wp14:anchorId="64E3EA84" wp14:editId="16A8ABBD">
            <wp:extent cx="4212000" cy="3348000"/>
            <wp:effectExtent l="0" t="0" r="17145" b="241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90AA62" w14:textId="77777777" w:rsidR="00661273" w:rsidRPr="00ED390F" w:rsidRDefault="00661273" w:rsidP="00EE0722">
      <w:pPr>
        <w:rPr>
          <w:b/>
          <w:bCs/>
          <w:sz w:val="12"/>
          <w:szCs w:val="12"/>
        </w:rPr>
      </w:pPr>
    </w:p>
    <w:p w14:paraId="694C08CD" w14:textId="0897576D" w:rsidR="00F32A1A" w:rsidRDefault="00F32A1A" w:rsidP="00ED390F">
      <w:pPr>
        <w:jc w:val="center"/>
        <w:rPr>
          <w:b/>
          <w:bCs/>
        </w:rPr>
      </w:pPr>
      <w:r>
        <w:rPr>
          <w:b/>
          <w:bCs/>
        </w:rPr>
        <w:t xml:space="preserve">Figure 2: </w:t>
      </w:r>
      <w:r w:rsidR="006B3AC8">
        <w:rPr>
          <w:b/>
          <w:bCs/>
        </w:rPr>
        <w:t xml:space="preserve">Distribution of </w:t>
      </w:r>
      <w:r w:rsidRPr="00F32A1A">
        <w:rPr>
          <w:b/>
          <w:bCs/>
        </w:rPr>
        <w:t xml:space="preserve">Reproductive History Data of Women in the </w:t>
      </w:r>
      <w:r w:rsidR="006B3AC8">
        <w:rPr>
          <w:b/>
          <w:bCs/>
        </w:rPr>
        <w:t>Study</w:t>
      </w:r>
    </w:p>
    <w:p w14:paraId="24FA7DFC" w14:textId="77777777" w:rsidR="00F32A1A" w:rsidRDefault="00F32A1A" w:rsidP="00EE0722">
      <w:pPr>
        <w:rPr>
          <w:b/>
          <w:bCs/>
        </w:rPr>
      </w:pPr>
    </w:p>
    <w:p w14:paraId="7E60FB74" w14:textId="77777777" w:rsidR="00122E43" w:rsidRDefault="00122E43" w:rsidP="00EE0722">
      <w:pPr>
        <w:rPr>
          <w:b/>
          <w:bCs/>
        </w:rPr>
      </w:pPr>
    </w:p>
    <w:p w14:paraId="699B92D7" w14:textId="77777777" w:rsidR="00122E43" w:rsidRDefault="00122E43" w:rsidP="00EE0722">
      <w:pPr>
        <w:rPr>
          <w:b/>
          <w:bCs/>
        </w:rPr>
      </w:pPr>
    </w:p>
    <w:p w14:paraId="28E8660F" w14:textId="77777777" w:rsidR="00ED390F" w:rsidRDefault="00ED390F" w:rsidP="00EE0722">
      <w:pPr>
        <w:rPr>
          <w:b/>
          <w:bCs/>
        </w:rPr>
      </w:pPr>
    </w:p>
    <w:p w14:paraId="76A00D23" w14:textId="77777777" w:rsidR="00ED390F" w:rsidRDefault="00ED390F" w:rsidP="00EE0722">
      <w:pPr>
        <w:rPr>
          <w:b/>
          <w:bCs/>
        </w:rPr>
      </w:pPr>
    </w:p>
    <w:p w14:paraId="7524E0B0" w14:textId="77777777" w:rsidR="00ED390F" w:rsidRDefault="00ED390F" w:rsidP="00EE0722">
      <w:pPr>
        <w:rPr>
          <w:b/>
          <w:bCs/>
        </w:rPr>
      </w:pPr>
    </w:p>
    <w:p w14:paraId="794891B2" w14:textId="77777777" w:rsidR="008213D7" w:rsidRDefault="008213D7" w:rsidP="00EE0722">
      <w:pPr>
        <w:rPr>
          <w:b/>
          <w:bCs/>
        </w:rPr>
      </w:pPr>
    </w:p>
    <w:p w14:paraId="4F917EDA" w14:textId="4A91E62A" w:rsidR="00EE0722" w:rsidRPr="00EE0722" w:rsidRDefault="00EE0722" w:rsidP="00EE0722">
      <w:r>
        <w:rPr>
          <w:b/>
          <w:bCs/>
        </w:rPr>
        <w:lastRenderedPageBreak/>
        <w:t xml:space="preserve">3.2. </w:t>
      </w:r>
      <w:r w:rsidRPr="00EE0722">
        <w:rPr>
          <w:b/>
          <w:bCs/>
        </w:rPr>
        <w:t>Mammographic Findings and Tumor Characteristics</w:t>
      </w:r>
    </w:p>
    <w:p w14:paraId="724C7748" w14:textId="77777777" w:rsidR="000C3117" w:rsidRPr="000C3117" w:rsidRDefault="000C3117" w:rsidP="002D2AC7">
      <w:pPr>
        <w:jc w:val="lowKashida"/>
        <w:rPr>
          <w:sz w:val="8"/>
          <w:szCs w:val="8"/>
        </w:rPr>
      </w:pPr>
    </w:p>
    <w:p w14:paraId="1BBC474A" w14:textId="74ADF707" w:rsidR="00EE0722" w:rsidRDefault="00EE0722" w:rsidP="002D2AC7">
      <w:pPr>
        <w:jc w:val="lowKashida"/>
      </w:pPr>
      <w:r w:rsidRPr="00EE0722">
        <w:t>Patients underwent mammograms that detected</w:t>
      </w:r>
      <w:r w:rsidRPr="00EE0722">
        <w:t> </w:t>
      </w:r>
      <w:r w:rsidRPr="00EE0722">
        <w:t>varying degrees of radiologic changes. Forty percent of patients had (BI-RADS) breast density of heterogeneously dense breast tissue</w:t>
      </w:r>
      <w:proofErr w:type="gramStart"/>
      <w:r w:rsidRPr="00EE0722">
        <w:t>;</w:t>
      </w:r>
      <w:proofErr w:type="gramEnd"/>
      <w:r w:rsidRPr="00EE0722">
        <w:t> </w:t>
      </w:r>
      <w:r w:rsidRPr="00EE0722">
        <w:t xml:space="preserve">30 percent have (BI-RADS) dense glandular tissue, and 30 percent have (BI-RADS) scattered </w:t>
      </w:r>
      <w:proofErr w:type="spellStart"/>
      <w:r w:rsidRPr="00EE0722">
        <w:t>fibroglandular</w:t>
      </w:r>
      <w:proofErr w:type="spellEnd"/>
      <w:r w:rsidRPr="00EE0722">
        <w:t xml:space="preserve"> patterns of breast density.</w:t>
      </w:r>
      <w:r w:rsidR="000C3117">
        <w:t xml:space="preserve"> </w:t>
      </w:r>
    </w:p>
    <w:p w14:paraId="7A88FF10" w14:textId="77777777" w:rsidR="000C3117" w:rsidRPr="000C3117" w:rsidRDefault="000C3117" w:rsidP="002D2AC7">
      <w:pPr>
        <w:jc w:val="lowKashida"/>
        <w:rPr>
          <w:sz w:val="12"/>
          <w:szCs w:val="12"/>
        </w:rPr>
      </w:pPr>
    </w:p>
    <w:p w14:paraId="2107B069" w14:textId="77777777" w:rsidR="00EE0722" w:rsidRPr="00EE0722" w:rsidRDefault="00EE0722" w:rsidP="002D2AC7">
      <w:pPr>
        <w:jc w:val="lowKashida"/>
      </w:pPr>
      <w:proofErr w:type="spellStart"/>
      <w:r w:rsidRPr="00EE0722">
        <w:t>Microcalcifications</w:t>
      </w:r>
      <w:proofErr w:type="spellEnd"/>
      <w:r w:rsidRPr="00EE0722">
        <w:t xml:space="preserve"> were seen in 25% of patients</w:t>
      </w:r>
      <w:proofErr w:type="gramStart"/>
      <w:r w:rsidRPr="00EE0722">
        <w:t>,</w:t>
      </w:r>
      <w:proofErr w:type="gramEnd"/>
      <w:r w:rsidRPr="00EE0722">
        <w:t> </w:t>
      </w:r>
      <w:r w:rsidRPr="00EE0722">
        <w:t>and in 15% of cases, the patterns were suspicious for malignancy.</w:t>
      </w:r>
    </w:p>
    <w:p w14:paraId="3F076D68" w14:textId="7E4144C3" w:rsidR="00EE0722" w:rsidRDefault="00EE0722" w:rsidP="000255AD">
      <w:pPr>
        <w:jc w:val="lowKashida"/>
      </w:pPr>
      <w:r w:rsidRPr="00EE0722">
        <w:t>Mass lesions—Mild to moderate malignant lesions were found (18% were described</w:t>
      </w:r>
      <w:r w:rsidRPr="00EE0722">
        <w:t> </w:t>
      </w:r>
      <w:r w:rsidRPr="00EE0722">
        <w:t>as well-</w:t>
      </w:r>
      <w:proofErr w:type="spellStart"/>
      <w:r w:rsidRPr="00EE0722">
        <w:t>marginated</w:t>
      </w:r>
      <w:proofErr w:type="spellEnd"/>
      <w:r w:rsidRPr="00EE0722">
        <w:t xml:space="preserve">; 18% as </w:t>
      </w:r>
      <w:proofErr w:type="spellStart"/>
      <w:r w:rsidRPr="00EE0722">
        <w:t>spiculated</w:t>
      </w:r>
      <w:proofErr w:type="spellEnd"/>
      <w:r w:rsidRPr="00EE0722">
        <w:t xml:space="preserve"> or irregular). Ten percent of cases showed architectural</w:t>
      </w:r>
      <w:r w:rsidRPr="00EE0722">
        <w:t> </w:t>
      </w:r>
      <w:r w:rsidRPr="00EE0722">
        <w:t>distortions and asymmetrical densities. Importantly, 10% of patients had an individual imaging feature</w:t>
      </w:r>
      <w:proofErr w:type="gramStart"/>
      <w:r w:rsidRPr="00EE0722">
        <w:t>,</w:t>
      </w:r>
      <w:proofErr w:type="gramEnd"/>
      <w:r w:rsidRPr="00EE0722">
        <w:t> </w:t>
      </w:r>
      <w:r w:rsidRPr="00EE0722">
        <w:t>or a combination of features, that increased the suspicion of malignancy</w:t>
      </w:r>
      <w:r w:rsidR="00842539">
        <w:t xml:space="preserve"> as shown in </w:t>
      </w:r>
      <w:r w:rsidR="00594CF8">
        <w:t>[</w:t>
      </w:r>
      <w:r w:rsidR="002E25C8">
        <w:t>F</w:t>
      </w:r>
      <w:r w:rsidR="00842539">
        <w:t>igures 3</w:t>
      </w:r>
      <w:r w:rsidR="00122E43">
        <w:t>-</w:t>
      </w:r>
      <w:r w:rsidR="002E25C8">
        <w:t>5</w:t>
      </w:r>
      <w:r w:rsidR="00594CF8">
        <w:t>]</w:t>
      </w:r>
      <w:r w:rsidRPr="00EE0722">
        <w:t>.</w:t>
      </w:r>
      <w:r w:rsidR="008213D7">
        <w:t xml:space="preserve"> </w:t>
      </w:r>
    </w:p>
    <w:p w14:paraId="62695726" w14:textId="77777777" w:rsidR="008213D7" w:rsidRPr="008213D7" w:rsidRDefault="008213D7" w:rsidP="000255AD">
      <w:pPr>
        <w:jc w:val="lowKashida"/>
      </w:pPr>
    </w:p>
    <w:p w14:paraId="1AFD10A4" w14:textId="77777777" w:rsidR="00EE0722" w:rsidRPr="00EE0722" w:rsidRDefault="00EE0722" w:rsidP="008213D7">
      <w:pPr>
        <w:jc w:val="center"/>
      </w:pPr>
      <w:r w:rsidRPr="00EE0722">
        <w:rPr>
          <w:noProof/>
        </w:rPr>
        <w:drawing>
          <wp:inline distT="0" distB="0" distL="0" distR="0" wp14:anchorId="6A23682A" wp14:editId="773D8924">
            <wp:extent cx="3810000" cy="421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10000" cy="4210050"/>
                    </a:xfrm>
                    <a:prstGeom prst="rect">
                      <a:avLst/>
                    </a:prstGeom>
                  </pic:spPr>
                </pic:pic>
              </a:graphicData>
            </a:graphic>
          </wp:inline>
        </w:drawing>
      </w:r>
    </w:p>
    <w:p w14:paraId="24CF53B2" w14:textId="77777777" w:rsidR="00C26D1C" w:rsidRDefault="00C26D1C" w:rsidP="00EE0722"/>
    <w:p w14:paraId="79741F98" w14:textId="38CEC5BE" w:rsidR="00EE0722" w:rsidRPr="00EE0722" w:rsidRDefault="00EE0722" w:rsidP="00842539">
      <w:pPr>
        <w:jc w:val="both"/>
      </w:pPr>
      <w:r w:rsidRPr="00156E2B">
        <w:rPr>
          <w:b/>
          <w:bCs/>
        </w:rPr>
        <w:t>Figure</w:t>
      </w:r>
      <w:r w:rsidRPr="00156E2B">
        <w:rPr>
          <w:b/>
          <w:bCs/>
        </w:rPr>
        <w:t> </w:t>
      </w:r>
      <w:r w:rsidR="006B3AC8">
        <w:rPr>
          <w:b/>
          <w:bCs/>
        </w:rPr>
        <w:t>3</w:t>
      </w:r>
      <w:r w:rsidRPr="00156E2B">
        <w:rPr>
          <w:b/>
          <w:bCs/>
        </w:rPr>
        <w:t>:</w:t>
      </w:r>
      <w:r w:rsidRPr="00EE0722">
        <w:t xml:space="preserve"> Standard views in right </w:t>
      </w:r>
      <w:proofErr w:type="spellStart"/>
      <w:r w:rsidRPr="00EE0722">
        <w:t>craniocaudal</w:t>
      </w:r>
      <w:proofErr w:type="spellEnd"/>
      <w:r w:rsidRPr="00EE0722">
        <w:t xml:space="preserve"> view, left </w:t>
      </w:r>
      <w:proofErr w:type="spellStart"/>
      <w:r w:rsidRPr="00EE0722">
        <w:t>craniocaudal</w:t>
      </w:r>
      <w:proofErr w:type="spellEnd"/>
      <w:r w:rsidRPr="00EE0722">
        <w:t xml:space="preserve"> view, right mediolateral oblique view, and left mediolateral oblique views, in a 45-year-old female patient LCC View: Suggestive for area of</w:t>
      </w:r>
      <w:r w:rsidRPr="00EE0722">
        <w:t> </w:t>
      </w:r>
      <w:r w:rsidRPr="00EE0722">
        <w:t xml:space="preserve">architectural distortion and </w:t>
      </w:r>
      <w:proofErr w:type="spellStart"/>
      <w:r w:rsidRPr="00EE0722">
        <w:t>spiculated</w:t>
      </w:r>
      <w:proofErr w:type="spellEnd"/>
      <w:r w:rsidRPr="00EE0722">
        <w:t xml:space="preserve"> margins, suspicious for mass/lesion, probably malignant. RCC View: </w:t>
      </w:r>
      <w:r w:rsidR="00457986">
        <w:t xml:space="preserve">there is </w:t>
      </w:r>
      <w:r w:rsidRPr="00EE0722">
        <w:t>some density (but more diffuse) with a less suspicious appearance. Left MLO: This view</w:t>
      </w:r>
      <w:r w:rsidRPr="00EE0722">
        <w:t> </w:t>
      </w:r>
      <w:r w:rsidRPr="00EE0722">
        <w:t xml:space="preserve">of the left breast demonstrates dense </w:t>
      </w:r>
      <w:proofErr w:type="spellStart"/>
      <w:r w:rsidRPr="00EE0722">
        <w:t>fibroglandular</w:t>
      </w:r>
      <w:proofErr w:type="spellEnd"/>
      <w:r w:rsidRPr="00EE0722">
        <w:t xml:space="preserve"> tissue, which may show asymmetry or abnormal calcifications. </w:t>
      </w:r>
    </w:p>
    <w:p w14:paraId="76ECF703" w14:textId="77777777" w:rsidR="00EE0722" w:rsidRPr="00EE0722" w:rsidRDefault="00EE0722" w:rsidP="008213D7">
      <w:pPr>
        <w:jc w:val="center"/>
      </w:pPr>
      <w:r w:rsidRPr="00EE0722">
        <w:rPr>
          <w:noProof/>
        </w:rPr>
        <w:lastRenderedPageBreak/>
        <w:drawing>
          <wp:inline distT="0" distB="0" distL="0" distR="0" wp14:anchorId="60056578" wp14:editId="4A1290C6">
            <wp:extent cx="4276725" cy="3305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76725" cy="3305175"/>
                    </a:xfrm>
                    <a:prstGeom prst="rect">
                      <a:avLst/>
                    </a:prstGeom>
                  </pic:spPr>
                </pic:pic>
              </a:graphicData>
            </a:graphic>
          </wp:inline>
        </w:drawing>
      </w:r>
    </w:p>
    <w:p w14:paraId="40CA86D7" w14:textId="77777777" w:rsidR="00C26D1C" w:rsidRDefault="00C26D1C" w:rsidP="00EE0722"/>
    <w:p w14:paraId="7BCD2466" w14:textId="634215CC" w:rsidR="00EE0722" w:rsidRDefault="00EE0722" w:rsidP="004A5294">
      <w:pPr>
        <w:jc w:val="lowKashida"/>
      </w:pPr>
      <w:r w:rsidRPr="00156E2B">
        <w:rPr>
          <w:b/>
          <w:bCs/>
        </w:rPr>
        <w:t xml:space="preserve">Figure </w:t>
      </w:r>
      <w:r w:rsidR="006B3AC8">
        <w:rPr>
          <w:b/>
          <w:bCs/>
        </w:rPr>
        <w:t>4</w:t>
      </w:r>
      <w:proofErr w:type="gramStart"/>
      <w:r w:rsidRPr="00156E2B">
        <w:rPr>
          <w:b/>
          <w:bCs/>
        </w:rPr>
        <w:t>:</w:t>
      </w:r>
      <w:proofErr w:type="gramEnd"/>
      <w:r w:rsidRPr="00156E2B">
        <w:rPr>
          <w:b/>
          <w:bCs/>
        </w:rPr>
        <w:t> </w:t>
      </w:r>
      <w:r w:rsidR="002E25C8">
        <w:t xml:space="preserve">Female, 50 years </w:t>
      </w:r>
      <w:r w:rsidRPr="00EE0722">
        <w:t xml:space="preserve">(Right </w:t>
      </w:r>
      <w:proofErr w:type="spellStart"/>
      <w:r w:rsidRPr="00EE0722">
        <w:t>Craniocaudal</w:t>
      </w:r>
      <w:proofErr w:type="spellEnd"/>
      <w:r w:rsidR="002E25C8">
        <w:t xml:space="preserve"> ,</w:t>
      </w:r>
      <w:r w:rsidRPr="00EE0722">
        <w:t xml:space="preserve">Left </w:t>
      </w:r>
      <w:proofErr w:type="spellStart"/>
      <w:r w:rsidRPr="00EE0722">
        <w:t>Craniocaudal</w:t>
      </w:r>
      <w:proofErr w:type="spellEnd"/>
      <w:r w:rsidRPr="00EE0722">
        <w:t xml:space="preserve">, Right Mediolateral Oblique, and Left Mediolateral Oblique) The RCC (Right </w:t>
      </w:r>
      <w:proofErr w:type="spellStart"/>
      <w:r w:rsidRPr="00EE0722">
        <w:t>Craniocaudal</w:t>
      </w:r>
      <w:proofErr w:type="spellEnd"/>
      <w:r w:rsidRPr="00EE0722">
        <w:t>) view reveals a focal asymmetry — a small area of opacity that does not have the familiar glandular tissue appearance — that we can see bilaterally, except it is not symmetric on the corresponding LCC view; hence, this area will be flagged as</w:t>
      </w:r>
      <w:r w:rsidRPr="00EE0722">
        <w:t> </w:t>
      </w:r>
      <w:r w:rsidR="00234964">
        <w:t xml:space="preserve">focal rather than bilateral, suggest </w:t>
      </w:r>
      <w:proofErr w:type="spellStart"/>
      <w:r w:rsidRPr="00EE0722">
        <w:t>fibroadenomas</w:t>
      </w:r>
      <w:proofErr w:type="spellEnd"/>
      <w:r w:rsidRPr="00EE0722">
        <w:t xml:space="preserve">. </w:t>
      </w:r>
    </w:p>
    <w:p w14:paraId="34A3C245" w14:textId="77777777" w:rsidR="00C26D1C" w:rsidRPr="00EE0722" w:rsidRDefault="00C26D1C" w:rsidP="00EE0722"/>
    <w:p w14:paraId="07FA5611" w14:textId="77777777" w:rsidR="00EE0722" w:rsidRPr="00EE0722" w:rsidRDefault="00EE0722" w:rsidP="008213D7">
      <w:pPr>
        <w:jc w:val="center"/>
      </w:pPr>
      <w:r w:rsidRPr="00EE0722">
        <w:rPr>
          <w:b/>
          <w:bCs/>
          <w:noProof/>
        </w:rPr>
        <w:drawing>
          <wp:inline distT="0" distB="0" distL="0" distR="0" wp14:anchorId="4548D026" wp14:editId="2C11D3D2">
            <wp:extent cx="4640580" cy="34823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0012" cy="3489418"/>
                    </a:xfrm>
                    <a:prstGeom prst="rect">
                      <a:avLst/>
                    </a:prstGeom>
                    <a:noFill/>
                    <a:ln>
                      <a:noFill/>
                    </a:ln>
                  </pic:spPr>
                </pic:pic>
              </a:graphicData>
            </a:graphic>
          </wp:inline>
        </w:drawing>
      </w:r>
    </w:p>
    <w:p w14:paraId="7778D655" w14:textId="77777777" w:rsidR="008213D7" w:rsidRDefault="008213D7" w:rsidP="004A5294">
      <w:pPr>
        <w:jc w:val="both"/>
        <w:rPr>
          <w:b/>
          <w:bCs/>
        </w:rPr>
      </w:pPr>
    </w:p>
    <w:p w14:paraId="42F7F289" w14:textId="77777777" w:rsidR="008213D7" w:rsidRDefault="00EE0722" w:rsidP="004A5294">
      <w:pPr>
        <w:jc w:val="both"/>
      </w:pPr>
      <w:r w:rsidRPr="00E65532">
        <w:rPr>
          <w:b/>
          <w:bCs/>
        </w:rPr>
        <w:t xml:space="preserve">Figure </w:t>
      </w:r>
      <w:r w:rsidR="002A21B0">
        <w:rPr>
          <w:b/>
          <w:bCs/>
        </w:rPr>
        <w:t>5</w:t>
      </w:r>
      <w:r w:rsidRPr="00E65532">
        <w:rPr>
          <w:b/>
          <w:bCs/>
        </w:rPr>
        <w:t>:</w:t>
      </w:r>
      <w:r w:rsidRPr="00EE0722">
        <w:t xml:space="preserve"> Mammogram of right breast (RML, RCC (right mediolateral view), right </w:t>
      </w:r>
      <w:proofErr w:type="spellStart"/>
      <w:r w:rsidRPr="00EE0722">
        <w:t>craniocaudal</w:t>
      </w:r>
      <w:proofErr w:type="spellEnd"/>
      <w:r w:rsidRPr="00EE0722">
        <w:t xml:space="preserve"> view) by 40-year-old female </w:t>
      </w:r>
      <w:r w:rsidR="004A5294">
        <w:t>on</w:t>
      </w:r>
      <w:r w:rsidRPr="00EE0722">
        <w:t xml:space="preserve"> the cross-sectional image in the RCC view (right image), there</w:t>
      </w:r>
      <w:r w:rsidRPr="00EE0722">
        <w:t> </w:t>
      </w:r>
      <w:r w:rsidRPr="00EE0722">
        <w:t xml:space="preserve">is a focal area of increased density in the central to medial aspect. </w:t>
      </w:r>
    </w:p>
    <w:p w14:paraId="29C48B24" w14:textId="19DF1E69" w:rsidR="00EE0722" w:rsidRDefault="00EE0722" w:rsidP="004A5294">
      <w:pPr>
        <w:jc w:val="both"/>
      </w:pPr>
      <w:r w:rsidRPr="00EE0722">
        <w:lastRenderedPageBreak/>
        <w:t xml:space="preserve">There is no obvious mass with </w:t>
      </w:r>
      <w:proofErr w:type="spellStart"/>
      <w:r w:rsidRPr="00EE0722">
        <w:t>spiculated</w:t>
      </w:r>
      <w:proofErr w:type="spellEnd"/>
      <w:r w:rsidRPr="00EE0722">
        <w:t xml:space="preserve"> margins; however, the area of opacity</w:t>
      </w:r>
      <w:r w:rsidRPr="00EE0722">
        <w:t> </w:t>
      </w:r>
      <w:r w:rsidRPr="00EE0722">
        <w:t>is irregular, so further evaluation is warranted. On the RML view (left image), there</w:t>
      </w:r>
      <w:r w:rsidRPr="00EE0722">
        <w:t> </w:t>
      </w:r>
      <w:r w:rsidRPr="00EE0722">
        <w:t>is a corresponding heterogeneously dense area, but once again, no definite mass or calcifications. The image shows heterogeneously dense breast tissue</w:t>
      </w:r>
      <w:proofErr w:type="gramStart"/>
      <w:r w:rsidRPr="00EE0722">
        <w:t>,</w:t>
      </w:r>
      <w:proofErr w:type="gramEnd"/>
      <w:r w:rsidRPr="00EE0722">
        <w:t> </w:t>
      </w:r>
      <w:r w:rsidRPr="00EE0722">
        <w:t>which can mask underlying masses. Be linked</w:t>
      </w:r>
      <w:r w:rsidRPr="00EE0722">
        <w:t> </w:t>
      </w:r>
      <w:r w:rsidRPr="00EE0722">
        <w:t xml:space="preserve">with benign alterations, for example, fibrocystic alterations, </w:t>
      </w:r>
      <w:proofErr w:type="spellStart"/>
      <w:r w:rsidRPr="00EE0722">
        <w:t>fibroadenomas</w:t>
      </w:r>
      <w:proofErr w:type="spellEnd"/>
      <w:r w:rsidRPr="00EE0722">
        <w:t>, or glandular tissue overlap. Or present as a new asymmetry or distortion, especially at the latter</w:t>
      </w:r>
      <w:proofErr w:type="gramStart"/>
      <w:r w:rsidRPr="00EE0722">
        <w:t>,</w:t>
      </w:r>
      <w:proofErr w:type="gramEnd"/>
      <w:r w:rsidRPr="00EE0722">
        <w:t> </w:t>
      </w:r>
      <w:r w:rsidRPr="00EE0722">
        <w:t>early malignancy.</w:t>
      </w:r>
      <w:r w:rsidR="008213D7">
        <w:t xml:space="preserve"> </w:t>
      </w:r>
    </w:p>
    <w:p w14:paraId="1F9E4F67" w14:textId="77777777" w:rsidR="008213D7" w:rsidRPr="008213D7" w:rsidRDefault="008213D7" w:rsidP="004A5294">
      <w:pPr>
        <w:jc w:val="both"/>
        <w:rPr>
          <w:sz w:val="8"/>
          <w:szCs w:val="8"/>
        </w:rPr>
      </w:pPr>
    </w:p>
    <w:p w14:paraId="741AAA0F" w14:textId="09609495" w:rsidR="00EE0722" w:rsidRPr="00EE0722" w:rsidRDefault="00C26D1C" w:rsidP="00EE0722">
      <w:r>
        <w:rPr>
          <w:b/>
          <w:bCs/>
        </w:rPr>
        <w:t xml:space="preserve">3.3. </w:t>
      </w:r>
      <w:r w:rsidR="00EE0722" w:rsidRPr="00EE0722">
        <w:rPr>
          <w:b/>
          <w:bCs/>
        </w:rPr>
        <w:t>Analysis of Risk Factors</w:t>
      </w:r>
    </w:p>
    <w:p w14:paraId="1758F12C" w14:textId="77777777" w:rsidR="008213D7" w:rsidRPr="008213D7" w:rsidRDefault="008213D7" w:rsidP="00E65532">
      <w:pPr>
        <w:jc w:val="both"/>
        <w:rPr>
          <w:sz w:val="8"/>
          <w:szCs w:val="8"/>
        </w:rPr>
      </w:pPr>
    </w:p>
    <w:p w14:paraId="3DFAF451" w14:textId="2E182B92" w:rsidR="00EE0722" w:rsidRDefault="00EE0722" w:rsidP="00E65532">
      <w:pPr>
        <w:jc w:val="both"/>
      </w:pPr>
      <w:r w:rsidRPr="00EE0722">
        <w:t>Multivariate logistic regression model based on tumor presence annotated</w:t>
      </w:r>
      <w:r w:rsidRPr="00EE0722">
        <w:t> </w:t>
      </w:r>
      <w:r w:rsidRPr="00EE0722">
        <w:t>on the mammography (dependent variable). On multivariable analysis, older age independently was associated with a positive tumor detection (OR = 1.08, 95% CI: 1.02–1.15, p =</w:t>
      </w:r>
      <w:r w:rsidRPr="00EE0722">
        <w:t> </w:t>
      </w:r>
      <w:r w:rsidRPr="00EE0722">
        <w:t>0.007). In like manner, a history</w:t>
      </w:r>
      <w:r w:rsidRPr="00EE0722">
        <w:t> </w:t>
      </w:r>
      <w:r w:rsidRPr="00EE0722">
        <w:t>of breast cancer in the family was featured as a strong predictor (OR = 3.20, 95% CI: 1.50–6.80, p = 0.003). Based on mammographic features</w:t>
      </w:r>
      <w:proofErr w:type="gramStart"/>
      <w:r w:rsidRPr="00EE0722">
        <w:t>,</w:t>
      </w:r>
      <w:proofErr w:type="gramEnd"/>
      <w:r w:rsidRPr="00EE0722">
        <w:t> </w:t>
      </w:r>
      <w:r w:rsidRPr="00EE0722">
        <w:t xml:space="preserve">the presence of </w:t>
      </w:r>
      <w:proofErr w:type="spellStart"/>
      <w:r w:rsidRPr="00EE0722">
        <w:t>microcalcifications</w:t>
      </w:r>
      <w:proofErr w:type="spellEnd"/>
      <w:r w:rsidRPr="00EE0722">
        <w:t xml:space="preserve"> in a suspicious distribution had an adjusted OR of 2.90 (95% CI: 1.20–7.01, p = 0.018).</w:t>
      </w:r>
      <w:r w:rsidR="008B1048">
        <w:t xml:space="preserve"> </w:t>
      </w:r>
    </w:p>
    <w:p w14:paraId="704C5E25" w14:textId="77777777" w:rsidR="008B1048" w:rsidRPr="008B1048" w:rsidRDefault="008B1048" w:rsidP="00E65532">
      <w:pPr>
        <w:jc w:val="both"/>
        <w:rPr>
          <w:sz w:val="12"/>
          <w:szCs w:val="12"/>
        </w:rPr>
      </w:pPr>
    </w:p>
    <w:p w14:paraId="5F7B8C6F" w14:textId="1B781EE1" w:rsidR="00EE0722" w:rsidRDefault="00EE0722" w:rsidP="00593302">
      <w:pPr>
        <w:jc w:val="both"/>
      </w:pPr>
      <w:r w:rsidRPr="00EE0722">
        <w:t>Among the other variables, BMI, hormone replacement therapy</w:t>
      </w:r>
      <w:proofErr w:type="gramStart"/>
      <w:r w:rsidRPr="00EE0722">
        <w:t>,</w:t>
      </w:r>
      <w:proofErr w:type="gramEnd"/>
      <w:r w:rsidRPr="00EE0722">
        <w:t> </w:t>
      </w:r>
      <w:r w:rsidRPr="00EE0722">
        <w:t>and reproductive history also showed trends toward association; however, when the variables were adjusted for confounding in the regression model, the associations did not approach significance. The calibration of the overall model was good, with an overall</w:t>
      </w:r>
      <w:r w:rsidRPr="00EE0722">
        <w:t> </w:t>
      </w:r>
      <w:r w:rsidRPr="00EE0722">
        <w:t>Hosmer-</w:t>
      </w:r>
      <w:proofErr w:type="spellStart"/>
      <w:r w:rsidRPr="00EE0722">
        <w:t>Lemeshow</w:t>
      </w:r>
      <w:proofErr w:type="spellEnd"/>
      <w:r w:rsidRPr="00EE0722">
        <w:t xml:space="preserve"> test p-value of 0.35, indicating an overall good fit of the model to the data</w:t>
      </w:r>
      <w:r w:rsidR="001B3809">
        <w:t xml:space="preserve"> as shown </w:t>
      </w:r>
      <w:r w:rsidR="00FA3882">
        <w:t xml:space="preserve">in </w:t>
      </w:r>
      <w:r w:rsidR="00593302">
        <w:t>T</w:t>
      </w:r>
      <w:r w:rsidR="00FA3882">
        <w:t>able 1</w:t>
      </w:r>
      <w:r w:rsidRPr="00EE0722">
        <w:t>.</w:t>
      </w:r>
      <w:r w:rsidR="008213D7">
        <w:t xml:space="preserve"> </w:t>
      </w:r>
    </w:p>
    <w:p w14:paraId="4A28D4CA" w14:textId="77777777" w:rsidR="008213D7" w:rsidRPr="00EE0722" w:rsidRDefault="008213D7" w:rsidP="00593302">
      <w:pPr>
        <w:jc w:val="both"/>
      </w:pPr>
    </w:p>
    <w:p w14:paraId="21C76354" w14:textId="591D5B8B" w:rsidR="00EE0722" w:rsidRPr="00FA3882" w:rsidRDefault="00EE0722" w:rsidP="008213D7">
      <w:pPr>
        <w:jc w:val="center"/>
        <w:rPr>
          <w:b/>
          <w:bCs/>
        </w:rPr>
      </w:pPr>
      <w:r w:rsidRPr="00FA3882">
        <w:rPr>
          <w:b/>
          <w:bCs/>
        </w:rPr>
        <w:t>Table 1</w:t>
      </w:r>
      <w:r w:rsidR="00FA3882" w:rsidRPr="00FA3882">
        <w:rPr>
          <w:b/>
          <w:bCs/>
        </w:rPr>
        <w:t>:</w:t>
      </w:r>
      <w:r w:rsidRPr="00FA3882">
        <w:rPr>
          <w:b/>
          <w:bCs/>
        </w:rPr>
        <w:t xml:space="preserve"> summarizes the distribution of risk factors and the corresponding odds ratios for tumor detection on mammography.</w:t>
      </w:r>
    </w:p>
    <w:tbl>
      <w:tblPr>
        <w:tblW w:w="7767" w:type="dxa"/>
        <w:tblInd w:w="922"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04"/>
        <w:gridCol w:w="1662"/>
        <w:gridCol w:w="2370"/>
        <w:gridCol w:w="831"/>
      </w:tblGrid>
      <w:tr w:rsidR="00EE0722" w:rsidRPr="00EE0722" w14:paraId="4FC1698F" w14:textId="77777777" w:rsidTr="008213D7">
        <w:trPr>
          <w:trHeight w:val="179"/>
        </w:trPr>
        <w:tc>
          <w:tcPr>
            <w:tcW w:w="0" w:type="auto"/>
            <w:gridSpan w:val="4"/>
            <w:tcBorders>
              <w:top w:val="nil"/>
              <w:left w:val="nil"/>
              <w:bottom w:val="nil"/>
              <w:right w:val="nil"/>
            </w:tcBorders>
            <w:vAlign w:val="center"/>
            <w:hideMark/>
          </w:tcPr>
          <w:p w14:paraId="793A61A8" w14:textId="48900BB1" w:rsidR="00EE0722" w:rsidRPr="008213D7" w:rsidRDefault="00EE0722" w:rsidP="008213D7">
            <w:pPr>
              <w:rPr>
                <w:b/>
                <w:bCs/>
                <w:sz w:val="8"/>
                <w:szCs w:val="8"/>
              </w:rPr>
            </w:pPr>
          </w:p>
        </w:tc>
      </w:tr>
      <w:tr w:rsidR="00EE0722" w:rsidRPr="00EE0722" w14:paraId="229F0465"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49FB72A2" w14:textId="77777777" w:rsidR="00EE0722" w:rsidRPr="00AA55DE" w:rsidRDefault="00EE0722" w:rsidP="008213D7">
            <w:pPr>
              <w:jc w:val="center"/>
              <w:rPr>
                <w:b/>
                <w:bCs/>
                <w:sz w:val="16"/>
                <w:szCs w:val="16"/>
              </w:rPr>
            </w:pPr>
            <w:r w:rsidRPr="00AA55DE">
              <w:rPr>
                <w:b/>
                <w:bCs/>
                <w:sz w:val="16"/>
                <w:szCs w:val="16"/>
              </w:rPr>
              <w:t>Risk Factor</w:t>
            </w:r>
          </w:p>
        </w:tc>
        <w:tc>
          <w:tcPr>
            <w:tcW w:w="0" w:type="auto"/>
            <w:tcBorders>
              <w:top w:val="outset" w:sz="6" w:space="0" w:color="auto"/>
              <w:left w:val="outset" w:sz="6" w:space="0" w:color="auto"/>
              <w:bottom w:val="outset" w:sz="6" w:space="0" w:color="auto"/>
              <w:right w:val="outset" w:sz="6" w:space="0" w:color="auto"/>
            </w:tcBorders>
            <w:vAlign w:val="center"/>
            <w:hideMark/>
          </w:tcPr>
          <w:p w14:paraId="4E6988F7" w14:textId="77777777" w:rsidR="00EE0722" w:rsidRPr="00AA55DE" w:rsidRDefault="00EE0722" w:rsidP="008213D7">
            <w:pPr>
              <w:jc w:val="center"/>
              <w:rPr>
                <w:b/>
                <w:bCs/>
                <w:sz w:val="16"/>
                <w:szCs w:val="16"/>
              </w:rPr>
            </w:pPr>
            <w:r w:rsidRPr="00AA55DE">
              <w:rPr>
                <w:b/>
                <w:bCs/>
                <w:sz w:val="16"/>
                <w:szCs w:val="16"/>
              </w:rPr>
              <w:t>Odds Ratio (OR)</w:t>
            </w:r>
          </w:p>
        </w:tc>
        <w:tc>
          <w:tcPr>
            <w:tcW w:w="0" w:type="auto"/>
            <w:tcBorders>
              <w:top w:val="outset" w:sz="6" w:space="0" w:color="auto"/>
              <w:left w:val="outset" w:sz="6" w:space="0" w:color="auto"/>
              <w:bottom w:val="outset" w:sz="6" w:space="0" w:color="auto"/>
              <w:right w:val="outset" w:sz="6" w:space="0" w:color="auto"/>
            </w:tcBorders>
            <w:vAlign w:val="center"/>
            <w:hideMark/>
          </w:tcPr>
          <w:p w14:paraId="41B85CF3" w14:textId="77777777" w:rsidR="00EE0722" w:rsidRPr="00AA55DE" w:rsidRDefault="00EE0722" w:rsidP="008213D7">
            <w:pPr>
              <w:jc w:val="center"/>
              <w:rPr>
                <w:b/>
                <w:bCs/>
                <w:sz w:val="16"/>
                <w:szCs w:val="16"/>
              </w:rPr>
            </w:pPr>
            <w:r w:rsidRPr="00AA55DE">
              <w:rPr>
                <w:b/>
                <w:bCs/>
                <w:sz w:val="16"/>
                <w:szCs w:val="16"/>
              </w:rPr>
              <w:t>95% Confidence Interval</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29B5C" w14:textId="77777777" w:rsidR="00EE0722" w:rsidRPr="00AA55DE" w:rsidRDefault="00EE0722" w:rsidP="008213D7">
            <w:pPr>
              <w:jc w:val="center"/>
              <w:rPr>
                <w:b/>
                <w:bCs/>
                <w:sz w:val="16"/>
                <w:szCs w:val="16"/>
              </w:rPr>
            </w:pPr>
            <w:r w:rsidRPr="00AA55DE">
              <w:rPr>
                <w:b/>
                <w:bCs/>
                <w:sz w:val="16"/>
                <w:szCs w:val="16"/>
              </w:rPr>
              <w:t>p-value</w:t>
            </w:r>
          </w:p>
        </w:tc>
      </w:tr>
      <w:tr w:rsidR="00EE0722" w:rsidRPr="00EE0722" w14:paraId="41A0B064"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497866B7" w14:textId="77777777" w:rsidR="00EE0722" w:rsidRPr="00AA55DE" w:rsidRDefault="00EE0722" w:rsidP="008213D7">
            <w:pPr>
              <w:jc w:val="center"/>
              <w:rPr>
                <w:b/>
                <w:bCs/>
                <w:sz w:val="16"/>
                <w:szCs w:val="16"/>
              </w:rPr>
            </w:pPr>
            <w:r w:rsidRPr="00AA55DE">
              <w:rPr>
                <w:b/>
                <w:bCs/>
                <w:sz w:val="16"/>
                <w:szCs w:val="16"/>
              </w:rPr>
              <w:t>Age (per year increase)</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95405" w14:textId="77777777" w:rsidR="00EE0722" w:rsidRPr="00AA55DE" w:rsidRDefault="00EE0722" w:rsidP="008213D7">
            <w:pPr>
              <w:jc w:val="center"/>
              <w:rPr>
                <w:b/>
                <w:bCs/>
                <w:sz w:val="16"/>
                <w:szCs w:val="16"/>
              </w:rPr>
            </w:pPr>
            <w:r w:rsidRPr="00AA55DE">
              <w:rPr>
                <w:b/>
                <w:bCs/>
                <w:sz w:val="16"/>
                <w:szCs w:val="16"/>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14:paraId="1FE91FFB" w14:textId="77777777" w:rsidR="00EE0722" w:rsidRPr="00AA55DE" w:rsidRDefault="00EE0722" w:rsidP="008213D7">
            <w:pPr>
              <w:jc w:val="center"/>
              <w:rPr>
                <w:b/>
                <w:bCs/>
                <w:sz w:val="16"/>
                <w:szCs w:val="16"/>
              </w:rPr>
            </w:pPr>
            <w:r w:rsidRPr="00AA55DE">
              <w:rPr>
                <w:b/>
                <w:bCs/>
                <w:sz w:val="16"/>
                <w:szCs w:val="16"/>
              </w:rPr>
              <w:t>1.02 – 1.15</w:t>
            </w:r>
          </w:p>
        </w:tc>
        <w:tc>
          <w:tcPr>
            <w:tcW w:w="0" w:type="auto"/>
            <w:tcBorders>
              <w:top w:val="outset" w:sz="6" w:space="0" w:color="auto"/>
              <w:left w:val="outset" w:sz="6" w:space="0" w:color="auto"/>
              <w:bottom w:val="outset" w:sz="6" w:space="0" w:color="auto"/>
              <w:right w:val="outset" w:sz="6" w:space="0" w:color="auto"/>
            </w:tcBorders>
            <w:vAlign w:val="center"/>
            <w:hideMark/>
          </w:tcPr>
          <w:p w14:paraId="4D7CA3B2" w14:textId="77777777" w:rsidR="00EE0722" w:rsidRPr="00AA55DE" w:rsidRDefault="00EE0722" w:rsidP="008213D7">
            <w:pPr>
              <w:jc w:val="center"/>
              <w:rPr>
                <w:b/>
                <w:bCs/>
                <w:sz w:val="16"/>
                <w:szCs w:val="16"/>
              </w:rPr>
            </w:pPr>
            <w:r w:rsidRPr="00AA55DE">
              <w:rPr>
                <w:b/>
                <w:bCs/>
                <w:sz w:val="16"/>
                <w:szCs w:val="16"/>
              </w:rPr>
              <w:t>0.007</w:t>
            </w:r>
          </w:p>
        </w:tc>
      </w:tr>
      <w:tr w:rsidR="00EE0722" w:rsidRPr="00EE0722" w14:paraId="3B1C64CE"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4C9BC62B" w14:textId="77777777" w:rsidR="00EE0722" w:rsidRPr="00AA55DE" w:rsidRDefault="00EE0722" w:rsidP="008213D7">
            <w:pPr>
              <w:jc w:val="center"/>
              <w:rPr>
                <w:b/>
                <w:bCs/>
                <w:sz w:val="16"/>
                <w:szCs w:val="16"/>
              </w:rPr>
            </w:pPr>
            <w:r w:rsidRPr="00AA55DE">
              <w:rPr>
                <w:b/>
                <w:bCs/>
                <w:sz w:val="16"/>
                <w:szCs w:val="16"/>
              </w:rPr>
              <w:t>Positive Family History</w:t>
            </w:r>
          </w:p>
        </w:tc>
        <w:tc>
          <w:tcPr>
            <w:tcW w:w="0" w:type="auto"/>
            <w:tcBorders>
              <w:top w:val="outset" w:sz="6" w:space="0" w:color="auto"/>
              <w:left w:val="outset" w:sz="6" w:space="0" w:color="auto"/>
              <w:bottom w:val="outset" w:sz="6" w:space="0" w:color="auto"/>
              <w:right w:val="outset" w:sz="6" w:space="0" w:color="auto"/>
            </w:tcBorders>
            <w:vAlign w:val="center"/>
            <w:hideMark/>
          </w:tcPr>
          <w:p w14:paraId="0F0E314C" w14:textId="77777777" w:rsidR="00EE0722" w:rsidRPr="00AA55DE" w:rsidRDefault="00EE0722" w:rsidP="008213D7">
            <w:pPr>
              <w:jc w:val="center"/>
              <w:rPr>
                <w:b/>
                <w:bCs/>
                <w:sz w:val="16"/>
                <w:szCs w:val="16"/>
              </w:rPr>
            </w:pPr>
            <w:r w:rsidRPr="00AA55DE">
              <w:rPr>
                <w:b/>
                <w:bCs/>
                <w:sz w:val="16"/>
                <w:szCs w:val="16"/>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5E3A3" w14:textId="77777777" w:rsidR="00EE0722" w:rsidRPr="00AA55DE" w:rsidRDefault="00EE0722" w:rsidP="008213D7">
            <w:pPr>
              <w:jc w:val="center"/>
              <w:rPr>
                <w:b/>
                <w:bCs/>
                <w:sz w:val="16"/>
                <w:szCs w:val="16"/>
              </w:rPr>
            </w:pPr>
            <w:r w:rsidRPr="00AA55DE">
              <w:rPr>
                <w:b/>
                <w:bCs/>
                <w:sz w:val="16"/>
                <w:szCs w:val="16"/>
              </w:rPr>
              <w:t>1.50 – 6.80</w:t>
            </w:r>
          </w:p>
        </w:tc>
        <w:tc>
          <w:tcPr>
            <w:tcW w:w="0" w:type="auto"/>
            <w:tcBorders>
              <w:top w:val="outset" w:sz="6" w:space="0" w:color="auto"/>
              <w:left w:val="outset" w:sz="6" w:space="0" w:color="auto"/>
              <w:bottom w:val="outset" w:sz="6" w:space="0" w:color="auto"/>
              <w:right w:val="outset" w:sz="6" w:space="0" w:color="auto"/>
            </w:tcBorders>
            <w:vAlign w:val="center"/>
            <w:hideMark/>
          </w:tcPr>
          <w:p w14:paraId="617AB270" w14:textId="77777777" w:rsidR="00EE0722" w:rsidRPr="00AA55DE" w:rsidRDefault="00EE0722" w:rsidP="008213D7">
            <w:pPr>
              <w:jc w:val="center"/>
              <w:rPr>
                <w:b/>
                <w:bCs/>
                <w:sz w:val="16"/>
                <w:szCs w:val="16"/>
              </w:rPr>
            </w:pPr>
            <w:r w:rsidRPr="00AA55DE">
              <w:rPr>
                <w:b/>
                <w:bCs/>
                <w:sz w:val="16"/>
                <w:szCs w:val="16"/>
              </w:rPr>
              <w:t>0.003</w:t>
            </w:r>
          </w:p>
        </w:tc>
      </w:tr>
      <w:tr w:rsidR="00EE0722" w:rsidRPr="00EE0722" w14:paraId="4AF09FAC"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4B53FED0" w14:textId="77777777" w:rsidR="00EE0722" w:rsidRPr="00AA55DE" w:rsidRDefault="00EE0722" w:rsidP="008213D7">
            <w:pPr>
              <w:jc w:val="center"/>
              <w:rPr>
                <w:b/>
                <w:bCs/>
                <w:sz w:val="16"/>
                <w:szCs w:val="16"/>
              </w:rPr>
            </w:pPr>
            <w:proofErr w:type="spellStart"/>
            <w:r w:rsidRPr="00AA55DE">
              <w:rPr>
                <w:b/>
                <w:bCs/>
                <w:sz w:val="16"/>
                <w:szCs w:val="16"/>
              </w:rPr>
              <w:t>Microcalcifications</w:t>
            </w:r>
            <w:proofErr w:type="spellEnd"/>
            <w:r w:rsidRPr="00AA55DE">
              <w:rPr>
                <w:b/>
                <w:bCs/>
                <w:sz w:val="16"/>
                <w:szCs w:val="16"/>
              </w:rPr>
              <w:t xml:space="preserve"> (suspicious)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70635271" w14:textId="77777777" w:rsidR="00EE0722" w:rsidRPr="00AA55DE" w:rsidRDefault="00EE0722" w:rsidP="008213D7">
            <w:pPr>
              <w:jc w:val="center"/>
              <w:rPr>
                <w:b/>
                <w:bCs/>
                <w:sz w:val="16"/>
                <w:szCs w:val="16"/>
              </w:rPr>
            </w:pPr>
            <w:r w:rsidRPr="00AA55DE">
              <w:rPr>
                <w:b/>
                <w:bCs/>
                <w:sz w:val="16"/>
                <w:szCs w:val="16"/>
              </w:rPr>
              <w:t>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EB3EF" w14:textId="77777777" w:rsidR="00EE0722" w:rsidRPr="00AA55DE" w:rsidRDefault="00EE0722" w:rsidP="008213D7">
            <w:pPr>
              <w:jc w:val="center"/>
              <w:rPr>
                <w:b/>
                <w:bCs/>
                <w:sz w:val="16"/>
                <w:szCs w:val="16"/>
              </w:rPr>
            </w:pPr>
            <w:r w:rsidRPr="00AA55DE">
              <w:rPr>
                <w:b/>
                <w:bCs/>
                <w:sz w:val="16"/>
                <w:szCs w:val="16"/>
              </w:rPr>
              <w:t>1.20 – 7.01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9AD78" w14:textId="77777777" w:rsidR="00EE0722" w:rsidRPr="00AA55DE" w:rsidRDefault="00EE0722" w:rsidP="008213D7">
            <w:pPr>
              <w:jc w:val="center"/>
              <w:rPr>
                <w:b/>
                <w:bCs/>
                <w:sz w:val="16"/>
                <w:szCs w:val="16"/>
              </w:rPr>
            </w:pPr>
            <w:r w:rsidRPr="00AA55DE">
              <w:rPr>
                <w:b/>
                <w:bCs/>
                <w:sz w:val="16"/>
                <w:szCs w:val="16"/>
              </w:rPr>
              <w:t>0.018</w:t>
            </w:r>
          </w:p>
        </w:tc>
      </w:tr>
      <w:tr w:rsidR="00EE0722" w:rsidRPr="00EE0722" w14:paraId="06077934"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0C2A637A" w14:textId="77777777" w:rsidR="00EE0722" w:rsidRPr="00AA55DE" w:rsidRDefault="00EE0722" w:rsidP="008213D7">
            <w:pPr>
              <w:jc w:val="center"/>
              <w:rPr>
                <w:b/>
                <w:bCs/>
                <w:sz w:val="16"/>
                <w:szCs w:val="16"/>
              </w:rPr>
            </w:pPr>
            <w:r w:rsidRPr="00AA55DE">
              <w:rPr>
                <w:b/>
                <w:bCs/>
                <w:sz w:val="16"/>
                <w:szCs w:val="16"/>
              </w:rPr>
              <w:t>BMI</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6F891" w14:textId="77777777" w:rsidR="00EE0722" w:rsidRPr="00AA55DE" w:rsidRDefault="00EE0722" w:rsidP="008213D7">
            <w:pPr>
              <w:jc w:val="center"/>
              <w:rPr>
                <w:b/>
                <w:bCs/>
                <w:sz w:val="16"/>
                <w:szCs w:val="16"/>
              </w:rPr>
            </w:pPr>
            <w:r w:rsidRPr="00AA55DE">
              <w:rPr>
                <w:b/>
                <w:bCs/>
                <w:sz w:val="16"/>
                <w:szCs w:val="16"/>
              </w:rPr>
              <w:t>1.05</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AA3D3" w14:textId="77777777" w:rsidR="00EE0722" w:rsidRPr="00AA55DE" w:rsidRDefault="00EE0722" w:rsidP="008213D7">
            <w:pPr>
              <w:jc w:val="center"/>
              <w:rPr>
                <w:b/>
                <w:bCs/>
                <w:sz w:val="16"/>
                <w:szCs w:val="16"/>
              </w:rPr>
            </w:pPr>
            <w:r w:rsidRPr="00AA55DE">
              <w:rPr>
                <w:b/>
                <w:bCs/>
                <w:sz w:val="16"/>
                <w:szCs w:val="16"/>
              </w:rPr>
              <w:t>0.98 – 1.12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89BA4A0" w14:textId="77777777" w:rsidR="00EE0722" w:rsidRPr="00AA55DE" w:rsidRDefault="00EE0722" w:rsidP="008213D7">
            <w:pPr>
              <w:jc w:val="center"/>
              <w:rPr>
                <w:b/>
                <w:bCs/>
                <w:sz w:val="16"/>
                <w:szCs w:val="16"/>
              </w:rPr>
            </w:pPr>
            <w:r w:rsidRPr="00AA55DE">
              <w:rPr>
                <w:b/>
                <w:bCs/>
                <w:sz w:val="16"/>
                <w:szCs w:val="16"/>
              </w:rPr>
              <w:t>0.15</w:t>
            </w:r>
          </w:p>
        </w:tc>
      </w:tr>
      <w:tr w:rsidR="00EE0722" w:rsidRPr="00EE0722" w14:paraId="55F397FC"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67C162BB" w14:textId="77777777" w:rsidR="00EE0722" w:rsidRPr="00AA55DE" w:rsidRDefault="00EE0722" w:rsidP="008213D7">
            <w:pPr>
              <w:jc w:val="center"/>
              <w:rPr>
                <w:b/>
                <w:bCs/>
                <w:sz w:val="16"/>
                <w:szCs w:val="16"/>
              </w:rPr>
            </w:pPr>
            <w:r w:rsidRPr="00AA55DE">
              <w:rPr>
                <w:b/>
                <w:bCs/>
                <w:sz w:val="16"/>
                <w:szCs w:val="16"/>
              </w:rPr>
              <w:t>HRT Use</w:t>
            </w:r>
          </w:p>
        </w:tc>
        <w:tc>
          <w:tcPr>
            <w:tcW w:w="0" w:type="auto"/>
            <w:tcBorders>
              <w:top w:val="outset" w:sz="6" w:space="0" w:color="auto"/>
              <w:left w:val="outset" w:sz="6" w:space="0" w:color="auto"/>
              <w:bottom w:val="outset" w:sz="6" w:space="0" w:color="auto"/>
              <w:right w:val="outset" w:sz="6" w:space="0" w:color="auto"/>
            </w:tcBorders>
            <w:vAlign w:val="center"/>
            <w:hideMark/>
          </w:tcPr>
          <w:p w14:paraId="00F58B89" w14:textId="77777777" w:rsidR="00EE0722" w:rsidRPr="00AA55DE" w:rsidRDefault="00EE0722" w:rsidP="008213D7">
            <w:pPr>
              <w:jc w:val="center"/>
              <w:rPr>
                <w:b/>
                <w:bCs/>
                <w:sz w:val="16"/>
                <w:szCs w:val="16"/>
              </w:rPr>
            </w:pPr>
            <w:r w:rsidRPr="00AA55DE">
              <w:rPr>
                <w:b/>
                <w:bCs/>
                <w:sz w:val="16"/>
                <w:szCs w:val="16"/>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14:paraId="66F6B3F3" w14:textId="77777777" w:rsidR="00EE0722" w:rsidRPr="00AA55DE" w:rsidRDefault="00EE0722" w:rsidP="008213D7">
            <w:pPr>
              <w:jc w:val="center"/>
              <w:rPr>
                <w:b/>
                <w:bCs/>
                <w:sz w:val="16"/>
                <w:szCs w:val="16"/>
              </w:rPr>
            </w:pPr>
            <w:r w:rsidRPr="00AA55DE">
              <w:rPr>
                <w:b/>
                <w:bCs/>
                <w:sz w:val="16"/>
                <w:szCs w:val="16"/>
              </w:rPr>
              <w:t>0.70 – 3.90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25F6D" w14:textId="77777777" w:rsidR="00EE0722" w:rsidRPr="00AA55DE" w:rsidRDefault="00EE0722" w:rsidP="008213D7">
            <w:pPr>
              <w:jc w:val="center"/>
              <w:rPr>
                <w:b/>
                <w:bCs/>
                <w:sz w:val="16"/>
                <w:szCs w:val="16"/>
              </w:rPr>
            </w:pPr>
            <w:r w:rsidRPr="00AA55DE">
              <w:rPr>
                <w:b/>
                <w:bCs/>
                <w:sz w:val="16"/>
                <w:szCs w:val="16"/>
              </w:rPr>
              <w:t>0.23</w:t>
            </w:r>
          </w:p>
        </w:tc>
      </w:tr>
      <w:tr w:rsidR="00EE0722" w:rsidRPr="00EE0722" w14:paraId="4A230497" w14:textId="77777777" w:rsidTr="008213D7">
        <w:trPr>
          <w:trHeight w:val="299"/>
        </w:trPr>
        <w:tc>
          <w:tcPr>
            <w:tcW w:w="0" w:type="auto"/>
            <w:tcBorders>
              <w:top w:val="outset" w:sz="6" w:space="0" w:color="auto"/>
              <w:left w:val="outset" w:sz="6" w:space="0" w:color="auto"/>
              <w:bottom w:val="outset" w:sz="6" w:space="0" w:color="auto"/>
              <w:right w:val="outset" w:sz="6" w:space="0" w:color="auto"/>
            </w:tcBorders>
            <w:vAlign w:val="center"/>
            <w:hideMark/>
          </w:tcPr>
          <w:p w14:paraId="7D1A9202" w14:textId="77777777" w:rsidR="00EE0722" w:rsidRPr="00AA55DE" w:rsidRDefault="00EE0722" w:rsidP="008213D7">
            <w:pPr>
              <w:jc w:val="center"/>
              <w:rPr>
                <w:b/>
                <w:bCs/>
                <w:sz w:val="16"/>
                <w:szCs w:val="16"/>
              </w:rPr>
            </w:pPr>
            <w:r w:rsidRPr="00AA55DE">
              <w:rPr>
                <w:b/>
                <w:bCs/>
                <w:sz w:val="16"/>
                <w:szCs w:val="16"/>
              </w:rPr>
              <w:t>Delayed First Pregnancy</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05367" w14:textId="77777777" w:rsidR="00EE0722" w:rsidRPr="00AA55DE" w:rsidRDefault="00EE0722" w:rsidP="008213D7">
            <w:pPr>
              <w:jc w:val="center"/>
              <w:rPr>
                <w:b/>
                <w:bCs/>
                <w:sz w:val="16"/>
                <w:szCs w:val="16"/>
              </w:rPr>
            </w:pPr>
            <w:r w:rsidRPr="00AA55DE">
              <w:rPr>
                <w:b/>
                <w:bCs/>
                <w:sz w:val="16"/>
                <w:szCs w:val="16"/>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CA036" w14:textId="77777777" w:rsidR="00EE0722" w:rsidRPr="00AA55DE" w:rsidRDefault="00EE0722" w:rsidP="008213D7">
            <w:pPr>
              <w:jc w:val="center"/>
              <w:rPr>
                <w:b/>
                <w:bCs/>
                <w:sz w:val="16"/>
                <w:szCs w:val="16"/>
              </w:rPr>
            </w:pPr>
            <w:r w:rsidRPr="00AA55DE">
              <w:rPr>
                <w:b/>
                <w:bCs/>
                <w:sz w:val="16"/>
                <w:szCs w:val="16"/>
              </w:rPr>
              <w:t>0.60 – 3.30</w:t>
            </w:r>
          </w:p>
        </w:tc>
        <w:tc>
          <w:tcPr>
            <w:tcW w:w="0" w:type="auto"/>
            <w:tcBorders>
              <w:top w:val="outset" w:sz="6" w:space="0" w:color="auto"/>
              <w:left w:val="outset" w:sz="6" w:space="0" w:color="auto"/>
              <w:bottom w:val="outset" w:sz="6" w:space="0" w:color="auto"/>
              <w:right w:val="outset" w:sz="6" w:space="0" w:color="auto"/>
            </w:tcBorders>
            <w:vAlign w:val="center"/>
            <w:hideMark/>
          </w:tcPr>
          <w:p w14:paraId="3B4B12F5" w14:textId="77777777" w:rsidR="00EE0722" w:rsidRPr="00AA55DE" w:rsidRDefault="00EE0722" w:rsidP="008213D7">
            <w:pPr>
              <w:jc w:val="center"/>
              <w:rPr>
                <w:b/>
                <w:bCs/>
                <w:sz w:val="16"/>
                <w:szCs w:val="16"/>
              </w:rPr>
            </w:pPr>
            <w:r w:rsidRPr="00AA55DE">
              <w:rPr>
                <w:b/>
                <w:bCs/>
                <w:sz w:val="16"/>
                <w:szCs w:val="16"/>
              </w:rPr>
              <w:t>0.41</w:t>
            </w:r>
          </w:p>
        </w:tc>
      </w:tr>
    </w:tbl>
    <w:p w14:paraId="62E27711" w14:textId="77777777" w:rsidR="00AA55DE" w:rsidRDefault="00AA55DE" w:rsidP="00EE0722">
      <w:pPr>
        <w:rPr>
          <w:sz w:val="12"/>
          <w:szCs w:val="12"/>
          <w:lang w:val="en"/>
        </w:rPr>
      </w:pPr>
    </w:p>
    <w:p w14:paraId="3EC433D5" w14:textId="77777777" w:rsidR="008213D7" w:rsidRPr="008213D7" w:rsidRDefault="008213D7" w:rsidP="00EE0722">
      <w:pPr>
        <w:rPr>
          <w:sz w:val="12"/>
          <w:szCs w:val="12"/>
          <w:lang w:val="en"/>
        </w:rPr>
      </w:pPr>
    </w:p>
    <w:p w14:paraId="22547599" w14:textId="21A661B9" w:rsidR="00EE0722" w:rsidRDefault="00EE0722" w:rsidP="009A42DF">
      <w:pPr>
        <w:jc w:val="lowKashida"/>
      </w:pPr>
      <w:r w:rsidRPr="00EE0722">
        <w:rPr>
          <w:lang w:val="en"/>
        </w:rPr>
        <w:t xml:space="preserve">These findings underline the significance of selected demographic as well as imaging characteristics in predicting the presence of breast tumors. </w:t>
      </w:r>
      <w:r w:rsidRPr="00EE0722">
        <w:t>This cross-sectional study elucidates demographic risk factors and mammographic findings according to breast tumor detection; however, demographic risk factors and mammographic findings are only</w:t>
      </w:r>
      <w:r w:rsidRPr="00EE0722">
        <w:t> </w:t>
      </w:r>
      <w:r w:rsidRPr="00EE0722">
        <w:t>part of the breast cancer detection picture. Tumor detection is associated with increasing age. This result agrees with [16]. Increasing age will influence many factors in our body</w:t>
      </w:r>
      <w:proofErr w:type="gramStart"/>
      <w:r w:rsidRPr="00EE0722">
        <w:t>,</w:t>
      </w:r>
      <w:proofErr w:type="gramEnd"/>
      <w:r w:rsidRPr="00EE0722">
        <w:t> </w:t>
      </w:r>
      <w:r w:rsidRPr="00EE0722">
        <w:t>especially cells, hormones, and the immune system. Older age, as it relates to the buildup of DNA, means that, of course, every second harm or error someone has in relation to their</w:t>
      </w:r>
      <w:r w:rsidRPr="00EE0722">
        <w:t> </w:t>
      </w:r>
      <w:r w:rsidRPr="00EE0722">
        <w:t>genome, the more likely they'll have a cancer-causing hereditary mutation. —Hormonal changes: Similar to menopause, hormonal changes are changeable at some point in aging, which promotes tumor growth. —</w:t>
      </w:r>
      <w:proofErr w:type="spellStart"/>
      <w:r w:rsidRPr="00EE0722">
        <w:t>Immunesenescence</w:t>
      </w:r>
      <w:proofErr w:type="spellEnd"/>
      <w:r w:rsidRPr="00EE0722">
        <w:t>: Aging can change the immune system and the immune system's ability to imprison new neoplastic cells from arising. Many studies indicate</w:t>
      </w:r>
      <w:r w:rsidRPr="00EE0722">
        <w:t> </w:t>
      </w:r>
      <w:r w:rsidRPr="00EE0722">
        <w:t xml:space="preserve">that the risk of having malignant changes in the breast increases with age. </w:t>
      </w:r>
    </w:p>
    <w:p w14:paraId="08055B35" w14:textId="77777777" w:rsidR="008213D7" w:rsidRPr="008213D7" w:rsidRDefault="008213D7" w:rsidP="009A42DF">
      <w:pPr>
        <w:jc w:val="lowKashida"/>
        <w:rPr>
          <w:sz w:val="12"/>
          <w:szCs w:val="12"/>
          <w:lang w:val="en"/>
        </w:rPr>
      </w:pPr>
    </w:p>
    <w:p w14:paraId="1D304474" w14:textId="280D76FA" w:rsidR="00EE0722" w:rsidRDefault="00EE0722" w:rsidP="009A42DF">
      <w:pPr>
        <w:jc w:val="lowKashida"/>
      </w:pPr>
      <w:r w:rsidRPr="00EE0722">
        <w:t>There was similarly higher a significant risk of developing neoplasia among patients with a positive family history of breast cancer, affirming that genetic predisposition has an</w:t>
      </w:r>
      <w:r w:rsidRPr="00EE0722">
        <w:t> </w:t>
      </w:r>
      <w:r w:rsidRPr="00EE0722">
        <w:t>important role in the evolution of neoplasia; this result agrees with [17]. The research indicated that</w:t>
      </w:r>
      <w:r w:rsidRPr="00EE0722">
        <w:t> </w:t>
      </w:r>
      <w:r w:rsidRPr="00EE0722">
        <w:t>mutations in highly penetrant genes (which are transmitted in an autosomal dominant fashion) only account for 15% of all breast cancer cases. BRCA1 and BRCA2: Mutations in BRCA1 and BRCA2 are the most</w:t>
      </w:r>
      <w:r w:rsidRPr="00EE0722">
        <w:t> </w:t>
      </w:r>
      <w:r w:rsidRPr="00EE0722">
        <w:t>frequently inherited mutations in an autosomal dominant manner. Recent developments in genomic technologies are enabling both the swift identification of novel breast cancer predisposition genes and the high-throughput testing of multiple genes, sometimes</w:t>
      </w:r>
      <w:r w:rsidRPr="00EE0722">
        <w:t> </w:t>
      </w:r>
      <w:r w:rsidRPr="00EE0722">
        <w:t xml:space="preserve">within the same laboratory. Introduction — </w:t>
      </w:r>
      <w:proofErr w:type="gramStart"/>
      <w:r w:rsidRPr="00EE0722">
        <w:t>With</w:t>
      </w:r>
      <w:proofErr w:type="gramEnd"/>
      <w:r w:rsidRPr="00EE0722">
        <w:t xml:space="preserve"> the advent of next-generation sequencing technologies, custom next-generation sequencing panels</w:t>
      </w:r>
      <w:r w:rsidRPr="00EE0722">
        <w:t> </w:t>
      </w:r>
      <w:r w:rsidRPr="00EE0722">
        <w:t>have been designed to offer multiplex testing of a small number of breast cancer predisposition genes.</w:t>
      </w:r>
      <w:r w:rsidR="008213D7">
        <w:t xml:space="preserve"> </w:t>
      </w:r>
    </w:p>
    <w:p w14:paraId="5088B826" w14:textId="77777777" w:rsidR="008213D7" w:rsidRPr="00EE0722" w:rsidRDefault="008213D7" w:rsidP="009A42DF">
      <w:pPr>
        <w:jc w:val="lowKashida"/>
      </w:pPr>
    </w:p>
    <w:p w14:paraId="5FBECFC2" w14:textId="5EFA5237" w:rsidR="00EE0722" w:rsidRDefault="00EE0722" w:rsidP="009A42DF">
      <w:pPr>
        <w:jc w:val="lowKashida"/>
      </w:pPr>
      <w:r w:rsidRPr="00EE0722">
        <w:lastRenderedPageBreak/>
        <w:t>This underlines the importance</w:t>
      </w:r>
      <w:r w:rsidRPr="00EE0722">
        <w:t> </w:t>
      </w:r>
      <w:r w:rsidRPr="00EE0722">
        <w:t xml:space="preserve">of suspicious </w:t>
      </w:r>
      <w:proofErr w:type="spellStart"/>
      <w:r w:rsidRPr="00EE0722">
        <w:t>microcalcification</w:t>
      </w:r>
      <w:proofErr w:type="spellEnd"/>
      <w:r w:rsidRPr="00EE0722">
        <w:t xml:space="preserve"> patterns and the need for close radiological evaluation in the detection of malignancy at an early stage. Pixel-level findings </w:t>
      </w:r>
      <w:proofErr w:type="spellStart"/>
      <w:r w:rsidRPr="00EE0722">
        <w:t>Microcalcifications</w:t>
      </w:r>
      <w:proofErr w:type="spellEnd"/>
      <w:r w:rsidRPr="00EE0722">
        <w:t>, by combining these with the clinical findings, breast mass, or cluster patterns, are the most recognized predictors of potential invasive cancer, even after adjusting for confounding factors in our data set.</w:t>
      </w:r>
      <w:r w:rsidR="008213D7">
        <w:t xml:space="preserve"> </w:t>
      </w:r>
    </w:p>
    <w:p w14:paraId="279A2140" w14:textId="77777777" w:rsidR="008213D7" w:rsidRPr="008213D7" w:rsidRDefault="008213D7" w:rsidP="009A42DF">
      <w:pPr>
        <w:jc w:val="lowKashida"/>
        <w:rPr>
          <w:sz w:val="12"/>
          <w:szCs w:val="12"/>
        </w:rPr>
      </w:pPr>
    </w:p>
    <w:p w14:paraId="36353977" w14:textId="2393189C" w:rsidR="00EE0722" w:rsidRDefault="00EE0722" w:rsidP="006A22A5">
      <w:pPr>
        <w:jc w:val="lowKashida"/>
      </w:pPr>
      <w:r w:rsidRPr="00EE0722">
        <w:t>While many studies have pointed to BMI and hormone replacement therapy as</w:t>
      </w:r>
      <w:r w:rsidRPr="00EE0722">
        <w:t> </w:t>
      </w:r>
      <w:r w:rsidRPr="00EE0722">
        <w:t>risk factors [18</w:t>
      </w:r>
      <w:r w:rsidR="009A42DF">
        <w:t>-</w:t>
      </w:r>
      <w:r w:rsidRPr="00EE0722">
        <w:t xml:space="preserve"> 20], these features were not significant independent predictors after multivariate adjustment here. One possible explanation for this discrepancy may be due to sample size </w:t>
      </w:r>
      <w:proofErr w:type="gramStart"/>
      <w:r w:rsidRPr="00EE0722">
        <w:t>were</w:t>
      </w:r>
      <w:proofErr w:type="gramEnd"/>
      <w:r w:rsidRPr="00EE0722">
        <w:t xml:space="preserve"> small relatively and the heterogeneous nature of the distribution of these parameters in</w:t>
      </w:r>
      <w:r w:rsidRPr="00EE0722">
        <w:t> </w:t>
      </w:r>
      <w:r w:rsidRPr="00EE0722">
        <w:t>the population studied. Larger cohorts and carefully controlled confounders will</w:t>
      </w:r>
      <w:r w:rsidRPr="00EE0722">
        <w:t> </w:t>
      </w:r>
      <w:r w:rsidRPr="00EE0722">
        <w:t>be needed to determine if these factors could approach significance.</w:t>
      </w:r>
      <w:r w:rsidR="008213D7">
        <w:t xml:space="preserve"> </w:t>
      </w:r>
    </w:p>
    <w:p w14:paraId="4430EA23" w14:textId="77777777" w:rsidR="008213D7" w:rsidRPr="008213D7" w:rsidRDefault="008213D7" w:rsidP="006A22A5">
      <w:pPr>
        <w:jc w:val="lowKashida"/>
        <w:rPr>
          <w:sz w:val="12"/>
          <w:szCs w:val="12"/>
        </w:rPr>
      </w:pPr>
    </w:p>
    <w:p w14:paraId="32EA6AF7" w14:textId="41BA7B36" w:rsidR="00EE0722" w:rsidRDefault="00EE0722" w:rsidP="009A42DF">
      <w:pPr>
        <w:jc w:val="lowKashida"/>
      </w:pPr>
      <w:r w:rsidRPr="00EE0722">
        <w:t>Some strengths of our study are the uniformity of imaging protocols, the validated questionnaires</w:t>
      </w:r>
      <w:r w:rsidRPr="00EE0722">
        <w:t> </w:t>
      </w:r>
      <w:r w:rsidRPr="00EE0722">
        <w:t>used to collect clinical data, and the strong multivariable logistic regression analysis performed. These approaches reduce the potential for measurement bias</w:t>
      </w:r>
      <w:r w:rsidRPr="00EE0722">
        <w:t> </w:t>
      </w:r>
      <w:r w:rsidRPr="00EE0722">
        <w:t>to confound the observed associations. Additional confirmation was achieved through an independent review of the mammographic findings by</w:t>
      </w:r>
      <w:r w:rsidRPr="00EE0722">
        <w:t> </w:t>
      </w:r>
      <w:r w:rsidRPr="00EE0722">
        <w:t>other radiologists, which further strengthened the reliability of the evaluations.</w:t>
      </w:r>
      <w:r w:rsidR="008213D7">
        <w:t xml:space="preserve"> </w:t>
      </w:r>
    </w:p>
    <w:p w14:paraId="5D23CE9E" w14:textId="77777777" w:rsidR="008213D7" w:rsidRPr="008213D7" w:rsidRDefault="008213D7" w:rsidP="009A42DF">
      <w:pPr>
        <w:jc w:val="lowKashida"/>
        <w:rPr>
          <w:sz w:val="12"/>
          <w:szCs w:val="12"/>
        </w:rPr>
      </w:pPr>
    </w:p>
    <w:p w14:paraId="66164C50" w14:textId="17863F09" w:rsidR="00EE0722" w:rsidRDefault="00EE0722" w:rsidP="009A42DF">
      <w:pPr>
        <w:jc w:val="lowKashida"/>
      </w:pPr>
      <w:r w:rsidRPr="00EE0722">
        <w:t>Nonetheless, some limitations should be taken into</w:t>
      </w:r>
      <w:r w:rsidRPr="00EE0722">
        <w:t> </w:t>
      </w:r>
      <w:r w:rsidRPr="00EE0722">
        <w:t>account. Then, the cross-sectional design of the study does not allow for the determination of cause and effect between risk factors and the development of</w:t>
      </w:r>
      <w:r w:rsidRPr="00EE0722">
        <w:t> </w:t>
      </w:r>
      <w:r w:rsidRPr="00EE0722">
        <w:t>a tumor. Second, they state that though the sample size</w:t>
      </w:r>
      <w:r w:rsidRPr="00EE0722">
        <w:t> </w:t>
      </w:r>
      <w:r w:rsidRPr="00EE0722">
        <w:t>of 100 patients is adequate for a first insight into the question, this also limits generalizability of the findings. Finally, because the</w:t>
      </w:r>
      <w:r w:rsidRPr="00EE0722">
        <w:t> </w:t>
      </w:r>
      <w:r w:rsidRPr="00EE0722">
        <w:t>study was performed at a single tertiary care center and participants were those referred for imaging rather than a random selection of the general population, a selection bias cannot be completely ruled out.</w:t>
      </w:r>
      <w:r w:rsidR="008213D7">
        <w:t xml:space="preserve"> </w:t>
      </w:r>
    </w:p>
    <w:p w14:paraId="2A158B1A" w14:textId="77777777" w:rsidR="008213D7" w:rsidRPr="008213D7" w:rsidRDefault="008213D7" w:rsidP="009A42DF">
      <w:pPr>
        <w:jc w:val="lowKashida"/>
        <w:rPr>
          <w:sz w:val="12"/>
          <w:szCs w:val="12"/>
        </w:rPr>
      </w:pPr>
    </w:p>
    <w:p w14:paraId="007A76F4" w14:textId="1E6E7C19" w:rsidR="00EE0722" w:rsidRDefault="00EE0722" w:rsidP="009A42DF">
      <w:pPr>
        <w:jc w:val="lowKashida"/>
      </w:pPr>
      <w:r w:rsidRPr="00EE0722">
        <w:t>It is important to also note that these findings could reflect interactions between different risk factors and</w:t>
      </w:r>
      <w:r w:rsidRPr="00EE0722">
        <w:t> </w:t>
      </w:r>
      <w:r w:rsidRPr="00EE0722">
        <w:t>should be interpreted in this light. For example, older age and family history may have a multiplicative effect (vs. additive) on risk—a question</w:t>
      </w:r>
      <w:r w:rsidRPr="00EE0722">
        <w:t> </w:t>
      </w:r>
      <w:r w:rsidRPr="00EE0722">
        <w:t>that requires closer investigation in future prospective studies. Additionally, the low prevalence of some variables, such as hormone replacement therapy use, may have limited the capacity to observe statistically</w:t>
      </w:r>
      <w:r w:rsidRPr="00EE0722">
        <w:t> </w:t>
      </w:r>
      <w:r w:rsidRPr="00EE0722">
        <w:t>significant associations.</w:t>
      </w:r>
      <w:r w:rsidR="008213D7">
        <w:t xml:space="preserve"> </w:t>
      </w:r>
    </w:p>
    <w:p w14:paraId="142D06E7" w14:textId="77777777" w:rsidR="008213D7" w:rsidRPr="008213D7" w:rsidRDefault="008213D7" w:rsidP="009A42DF">
      <w:pPr>
        <w:jc w:val="lowKashida"/>
        <w:rPr>
          <w:sz w:val="12"/>
          <w:szCs w:val="12"/>
        </w:rPr>
      </w:pPr>
    </w:p>
    <w:p w14:paraId="7532129A" w14:textId="5FE4F0FC" w:rsidR="00EE0722" w:rsidRDefault="00EE0722" w:rsidP="006A22A5">
      <w:pPr>
        <w:jc w:val="lowKashida"/>
      </w:pPr>
      <w:r w:rsidRPr="00EE0722">
        <w:t>Although the study did not assess</w:t>
      </w:r>
      <w:r w:rsidRPr="00EE0722">
        <w:t> </w:t>
      </w:r>
      <w:r w:rsidRPr="00EE0722">
        <w:t>mammographic density directly, BI-RADS categories might reflect mammographic density, as mammographic density is a well-known risk factor of breast cancer. Breast density has been shown to correlate with risk of breast cancer, in part masking cancers [20] and in</w:t>
      </w:r>
      <w:r w:rsidRPr="00EE0722">
        <w:t> </w:t>
      </w:r>
      <w:r w:rsidRPr="00EE0722">
        <w:t>part due to underlying biological characteristics [21</w:t>
      </w:r>
      <w:r w:rsidRPr="006A22A5">
        <w:t xml:space="preserve">]. We observed some variation by density in our study, but additional stratified analyses are needed to fully clarify the effect </w:t>
      </w:r>
      <w:r w:rsidRPr="00EE0722">
        <w:t>of breast density on</w:t>
      </w:r>
      <w:r w:rsidRPr="00EE0722">
        <w:t> </w:t>
      </w:r>
      <w:r w:rsidRPr="00EE0722">
        <w:t>tumor detection in various types of patients.</w:t>
      </w:r>
      <w:r w:rsidR="008213D7">
        <w:t xml:space="preserve"> </w:t>
      </w:r>
    </w:p>
    <w:p w14:paraId="0F9B9D0F" w14:textId="77777777" w:rsidR="008213D7" w:rsidRPr="008213D7" w:rsidRDefault="008213D7" w:rsidP="006A22A5">
      <w:pPr>
        <w:jc w:val="lowKashida"/>
        <w:rPr>
          <w:sz w:val="12"/>
          <w:szCs w:val="12"/>
        </w:rPr>
      </w:pPr>
    </w:p>
    <w:p w14:paraId="1D00A558" w14:textId="6146EEEB" w:rsidR="00EE0722" w:rsidRDefault="00EE0722" w:rsidP="009A42DF">
      <w:pPr>
        <w:jc w:val="lowKashida"/>
      </w:pPr>
      <w:r w:rsidRPr="00EE0722">
        <w:t>The combination of demographic data with mammographic features, like that shown</w:t>
      </w:r>
      <w:r w:rsidRPr="00EE0722">
        <w:t> </w:t>
      </w:r>
      <w:r w:rsidRPr="00EE0722">
        <w:t>in this report, may allow for increased risk stratification and individualized patient management in clinical practice. These results will allow radiologists and oncologists to better guide treatment by making decisions</w:t>
      </w:r>
      <w:r w:rsidRPr="00EE0722">
        <w:t> </w:t>
      </w:r>
      <w:r w:rsidRPr="00EE0722">
        <w:t>about recommendations of biopsies for histology and guidelines for intervals of follow-up and screening programs specific to individual patients. In cases where patients present</w:t>
      </w:r>
      <w:r w:rsidRPr="00EE0722">
        <w:t> </w:t>
      </w:r>
      <w:r w:rsidRPr="00EE0722">
        <w:t>with several risk factors, a multifactorial assessment system that combines clinical information together with information from imaging is needed, making this especially relevant.</w:t>
      </w:r>
      <w:r w:rsidR="008213D7">
        <w:t xml:space="preserve"> </w:t>
      </w:r>
    </w:p>
    <w:p w14:paraId="6CFDD7A6" w14:textId="77777777" w:rsidR="008213D7" w:rsidRPr="008213D7" w:rsidRDefault="008213D7" w:rsidP="009A42DF">
      <w:pPr>
        <w:jc w:val="lowKashida"/>
        <w:rPr>
          <w:sz w:val="12"/>
          <w:szCs w:val="12"/>
        </w:rPr>
      </w:pPr>
    </w:p>
    <w:p w14:paraId="3CD3E887" w14:textId="4CEB3B56" w:rsidR="00EE0722" w:rsidRPr="00EE0722" w:rsidRDefault="00EE0722" w:rsidP="009A42DF">
      <w:pPr>
        <w:jc w:val="lowKashida"/>
      </w:pPr>
      <w:r w:rsidRPr="00EE0722">
        <w:t>Last, but not least, our findings have potential implications in patient counseling</w:t>
      </w:r>
      <w:r w:rsidRPr="00EE0722">
        <w:t> </w:t>
      </w:r>
      <w:r w:rsidRPr="00EE0722">
        <w:t>and public health. Expectant identification of endogenous risks among women undergoing routine screening may correlate with systemic compliance with subsequent processes and</w:t>
      </w:r>
      <w:r w:rsidRPr="00EE0722">
        <w:t> </w:t>
      </w:r>
      <w:r w:rsidRPr="00EE0722">
        <w:t>early action in prevention. However, the development of better models to predict risk may depend on integrating genomic profiles and other imaging modalities to ultimately assist the practice</w:t>
      </w:r>
      <w:r w:rsidRPr="00EE0722">
        <w:t> </w:t>
      </w:r>
      <w:r w:rsidRPr="00EE0722">
        <w:t>of precision medicine.</w:t>
      </w:r>
      <w:r w:rsidR="005F51E7">
        <w:t xml:space="preserve"> </w:t>
      </w:r>
    </w:p>
    <w:p w14:paraId="7C324D00" w14:textId="77777777" w:rsidR="00D473F0" w:rsidRDefault="00D473F0" w:rsidP="009A42DF">
      <w:pPr>
        <w:jc w:val="lowKashida"/>
        <w:rPr>
          <w:sz w:val="12"/>
          <w:szCs w:val="12"/>
        </w:rPr>
      </w:pPr>
    </w:p>
    <w:p w14:paraId="77501FA4" w14:textId="77777777" w:rsidR="005F51E7" w:rsidRPr="005F51E7" w:rsidRDefault="005F51E7" w:rsidP="009A42DF">
      <w:pPr>
        <w:jc w:val="lowKashida"/>
        <w:rPr>
          <w:sz w:val="12"/>
          <w:szCs w:val="12"/>
        </w:rPr>
      </w:pPr>
    </w:p>
    <w:p w14:paraId="6D1A3ED2" w14:textId="5F0D0CB9" w:rsidR="006458BE" w:rsidRPr="005F51E7" w:rsidRDefault="005F51E7" w:rsidP="005F51E7">
      <w:pPr>
        <w:tabs>
          <w:tab w:val="left" w:pos="284"/>
        </w:tabs>
        <w:rPr>
          <w:b/>
          <w:bCs/>
          <w:sz w:val="22"/>
          <w:szCs w:val="22"/>
          <w:lang w:val="id-ID"/>
        </w:rPr>
      </w:pPr>
      <w:r w:rsidRPr="005F51E7">
        <w:rPr>
          <w:b/>
          <w:bCs/>
          <w:sz w:val="22"/>
          <w:szCs w:val="22"/>
          <w:lang w:val="en-GB"/>
        </w:rPr>
        <w:t xml:space="preserve">4- </w:t>
      </w:r>
      <w:r w:rsidR="006458BE" w:rsidRPr="005F51E7">
        <w:rPr>
          <w:b/>
          <w:bCs/>
          <w:sz w:val="22"/>
          <w:szCs w:val="22"/>
          <w:lang w:val="id-ID"/>
        </w:rPr>
        <w:t>CONCLUSION</w:t>
      </w:r>
      <w:r w:rsidR="006458BE" w:rsidRPr="005F51E7">
        <w:rPr>
          <w:b/>
          <w:bCs/>
          <w:sz w:val="22"/>
          <w:szCs w:val="22"/>
        </w:rPr>
        <w:t xml:space="preserve"> </w:t>
      </w:r>
    </w:p>
    <w:p w14:paraId="3D464C55" w14:textId="77777777" w:rsidR="005F51E7" w:rsidRPr="005F51E7" w:rsidRDefault="005F51E7" w:rsidP="00392ECF">
      <w:pPr>
        <w:jc w:val="both"/>
        <w:rPr>
          <w:sz w:val="12"/>
          <w:szCs w:val="12"/>
          <w:lang w:val="en-GB"/>
        </w:rPr>
      </w:pPr>
    </w:p>
    <w:p w14:paraId="36B5B451" w14:textId="49EFAC87" w:rsidR="00D51D3A" w:rsidRPr="005F51E7" w:rsidRDefault="006D722E" w:rsidP="005F51E7">
      <w:pPr>
        <w:ind w:firstLine="720"/>
        <w:jc w:val="both"/>
        <w:rPr>
          <w:b/>
          <w:bCs/>
        </w:rPr>
      </w:pPr>
      <w:r w:rsidRPr="006D722E">
        <w:rPr>
          <w:lang w:val="id-ID"/>
        </w:rPr>
        <w:t>The study showed increasing age, positive family history, and the presence of suspicious microcalcifications were strong predictors for breast tumors on mammography. While many risk factors that have been raised previously (e.g., BMI, HRT) did not reach statistical significance in our analysis, some of these factors likely contribute to a risk and represent areas of interest for larger cohorts with greater diversity in exposure to assess. These results highlight the value of combining detailed patient history and advanced imaging data in the early detection and risk categorization of breast cancer. These results have very important clinical consequences. The findings of this study will help healthcare professionals to ensure optimal screening of patients, customize follow-up, and facilitate early diagnosis. In addition, this work will help to inform future research into the relationship between demographic, clinical, and imaging characteristics to facilitate more accurate prediction mod</w:t>
      </w:r>
      <w:r w:rsidR="005F51E7">
        <w:rPr>
          <w:lang w:val="id-ID"/>
        </w:rPr>
        <w:t>els and personalized treatments</w:t>
      </w:r>
      <w:r w:rsidR="005F51E7">
        <w:rPr>
          <w:lang w:val="en-GB"/>
        </w:rPr>
        <w:t xml:space="preserve">. </w:t>
      </w:r>
    </w:p>
    <w:p w14:paraId="6916180F" w14:textId="77777777" w:rsidR="006458BE" w:rsidRPr="005F51E7" w:rsidRDefault="006458BE" w:rsidP="006458BE">
      <w:pPr>
        <w:jc w:val="both"/>
        <w:rPr>
          <w:rStyle w:val="apple-style-span"/>
          <w:b/>
          <w:color w:val="000000"/>
          <w:sz w:val="22"/>
          <w:szCs w:val="22"/>
          <w:lang w:val="pt-BR"/>
        </w:rPr>
      </w:pPr>
      <w:bookmarkStart w:id="3" w:name="_Hlk78354977"/>
      <w:r w:rsidRPr="005F51E7">
        <w:rPr>
          <w:rStyle w:val="apple-style-span"/>
          <w:b/>
          <w:color w:val="000000"/>
          <w:sz w:val="22"/>
          <w:szCs w:val="22"/>
          <w:lang w:val="pt-BR"/>
        </w:rPr>
        <w:lastRenderedPageBreak/>
        <w:t>REFERENCES</w:t>
      </w:r>
    </w:p>
    <w:p w14:paraId="0FA5F33C" w14:textId="77777777" w:rsidR="006458BE" w:rsidRDefault="006458BE" w:rsidP="006458BE">
      <w:pPr>
        <w:jc w:val="both"/>
        <w:rPr>
          <w:rStyle w:val="apple-style-span"/>
          <w:b/>
          <w:color w:val="000000"/>
          <w:lang w:val="pt-BR"/>
        </w:rPr>
      </w:pPr>
    </w:p>
    <w:bookmarkEnd w:id="3"/>
    <w:p w14:paraId="28EE0E3C"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Liu, P. H., Wei, J. C.-C., Wang, Y. H., &amp; </w:t>
      </w:r>
      <w:proofErr w:type="spellStart"/>
      <w:r w:rsidRPr="005F51E7">
        <w:rPr>
          <w:rFonts w:asciiTheme="majorBidi" w:eastAsia="Calibri" w:hAnsiTheme="majorBidi" w:cstheme="majorBidi"/>
          <w:color w:val="000000"/>
        </w:rPr>
        <w:t>Yeh</w:t>
      </w:r>
      <w:proofErr w:type="spellEnd"/>
      <w:r w:rsidRPr="005F51E7">
        <w:rPr>
          <w:rFonts w:asciiTheme="majorBidi" w:eastAsia="Calibri" w:hAnsiTheme="majorBidi" w:cstheme="majorBidi"/>
          <w:color w:val="000000"/>
        </w:rPr>
        <w:t xml:space="preserve">, M. H. (2022). Female breast cancer incidence predisposing risk factors identification using nationwide big data: A matched nested case-control study in Taiwan. BMC Cancer, 22, 849. </w:t>
      </w:r>
      <w:hyperlink r:id="rId14" w:history="1">
        <w:r w:rsidRPr="009E0F14">
          <w:rPr>
            <w:rStyle w:val="Hyperlink"/>
            <w:rFonts w:asciiTheme="majorBidi" w:eastAsia="Calibri" w:hAnsiTheme="majorBidi" w:cstheme="majorBidi"/>
          </w:rPr>
          <w:t>https://doi.org/10.1186/s12885-022-09913-6</w:t>
        </w:r>
      </w:hyperlink>
      <w:r>
        <w:rPr>
          <w:rFonts w:asciiTheme="majorBidi" w:hAnsiTheme="majorBidi" w:cstheme="majorBidi"/>
          <w:color w:val="000000" w:themeColor="text1"/>
        </w:rPr>
        <w:t xml:space="preserve"> </w:t>
      </w:r>
    </w:p>
    <w:p w14:paraId="4AE6AC46"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proofErr w:type="spellStart"/>
      <w:r w:rsidRPr="005F51E7">
        <w:rPr>
          <w:rFonts w:asciiTheme="majorBidi" w:eastAsia="Calibri" w:hAnsiTheme="majorBidi" w:cstheme="majorBidi"/>
          <w:color w:val="000000"/>
        </w:rPr>
        <w:t>Pamilo</w:t>
      </w:r>
      <w:proofErr w:type="spellEnd"/>
      <w:r w:rsidRPr="005F51E7">
        <w:rPr>
          <w:rFonts w:asciiTheme="majorBidi" w:eastAsia="Calibri" w:hAnsiTheme="majorBidi" w:cstheme="majorBidi"/>
          <w:color w:val="000000"/>
        </w:rPr>
        <w:t xml:space="preserve">, M., </w:t>
      </w:r>
      <w:proofErr w:type="spellStart"/>
      <w:r w:rsidRPr="005F51E7">
        <w:rPr>
          <w:rFonts w:asciiTheme="majorBidi" w:eastAsia="Calibri" w:hAnsiTheme="majorBidi" w:cstheme="majorBidi"/>
          <w:color w:val="000000"/>
        </w:rPr>
        <w:t>Soiva</w:t>
      </w:r>
      <w:proofErr w:type="spellEnd"/>
      <w:r w:rsidRPr="005F51E7">
        <w:rPr>
          <w:rFonts w:asciiTheme="majorBidi" w:eastAsia="Calibri" w:hAnsiTheme="majorBidi" w:cstheme="majorBidi"/>
          <w:color w:val="000000"/>
        </w:rPr>
        <w:t xml:space="preserve">, M., </w:t>
      </w:r>
      <w:proofErr w:type="spellStart"/>
      <w:r w:rsidRPr="005F51E7">
        <w:rPr>
          <w:rFonts w:asciiTheme="majorBidi" w:eastAsia="Calibri" w:hAnsiTheme="majorBidi" w:cstheme="majorBidi"/>
          <w:color w:val="000000"/>
        </w:rPr>
        <w:t>Anttinen</w:t>
      </w:r>
      <w:proofErr w:type="spellEnd"/>
      <w:r w:rsidRPr="005F51E7">
        <w:rPr>
          <w:rFonts w:asciiTheme="majorBidi" w:eastAsia="Calibri" w:hAnsiTheme="majorBidi" w:cstheme="majorBidi"/>
          <w:color w:val="000000"/>
        </w:rPr>
        <w:t xml:space="preserve">, I., </w:t>
      </w:r>
      <w:proofErr w:type="spellStart"/>
      <w:r w:rsidRPr="005F51E7">
        <w:rPr>
          <w:rFonts w:asciiTheme="majorBidi" w:eastAsia="Calibri" w:hAnsiTheme="majorBidi" w:cstheme="majorBidi"/>
          <w:color w:val="000000"/>
        </w:rPr>
        <w:t>Roiha</w:t>
      </w:r>
      <w:proofErr w:type="spellEnd"/>
      <w:r w:rsidRPr="005F51E7">
        <w:rPr>
          <w:rFonts w:asciiTheme="majorBidi" w:eastAsia="Calibri" w:hAnsiTheme="majorBidi" w:cstheme="majorBidi"/>
          <w:color w:val="000000"/>
        </w:rPr>
        <w:t xml:space="preserve">, M., &amp; </w:t>
      </w:r>
      <w:proofErr w:type="spellStart"/>
      <w:r w:rsidRPr="005F51E7">
        <w:rPr>
          <w:rFonts w:asciiTheme="majorBidi" w:eastAsia="Calibri" w:hAnsiTheme="majorBidi" w:cstheme="majorBidi"/>
          <w:color w:val="000000"/>
        </w:rPr>
        <w:t>Suramo</w:t>
      </w:r>
      <w:proofErr w:type="spellEnd"/>
      <w:r w:rsidRPr="005F51E7">
        <w:rPr>
          <w:rFonts w:asciiTheme="majorBidi" w:eastAsia="Calibri" w:hAnsiTheme="majorBidi" w:cstheme="majorBidi"/>
          <w:color w:val="000000"/>
        </w:rPr>
        <w:t xml:space="preserve">, I. (2008). Ultrasonography of breast lesions detected in mammography screening. </w:t>
      </w:r>
      <w:proofErr w:type="spellStart"/>
      <w:r w:rsidRPr="005F51E7">
        <w:rPr>
          <w:rFonts w:asciiTheme="majorBidi" w:eastAsia="Calibri" w:hAnsiTheme="majorBidi" w:cstheme="majorBidi"/>
          <w:color w:val="000000"/>
        </w:rPr>
        <w:t>Acta</w:t>
      </w:r>
      <w:proofErr w:type="spellEnd"/>
      <w:r w:rsidRPr="005F51E7">
        <w:rPr>
          <w:rFonts w:asciiTheme="majorBidi" w:eastAsia="Calibri" w:hAnsiTheme="majorBidi" w:cstheme="majorBidi"/>
          <w:color w:val="000000"/>
        </w:rPr>
        <w:t xml:space="preserve"> </w:t>
      </w:r>
      <w:proofErr w:type="spellStart"/>
      <w:r w:rsidRPr="005F51E7">
        <w:rPr>
          <w:rFonts w:asciiTheme="majorBidi" w:eastAsia="Calibri" w:hAnsiTheme="majorBidi" w:cstheme="majorBidi"/>
          <w:color w:val="000000"/>
        </w:rPr>
        <w:t>Radiologica</w:t>
      </w:r>
      <w:proofErr w:type="spellEnd"/>
      <w:r w:rsidRPr="005F51E7">
        <w:rPr>
          <w:rFonts w:asciiTheme="majorBidi" w:eastAsia="Calibri" w:hAnsiTheme="majorBidi" w:cstheme="majorBidi"/>
          <w:color w:val="000000"/>
        </w:rPr>
        <w:t xml:space="preserve">, 32(3). </w:t>
      </w:r>
      <w:hyperlink r:id="rId15" w:history="1">
        <w:r w:rsidRPr="009E0F14">
          <w:rPr>
            <w:rStyle w:val="Hyperlink"/>
            <w:rFonts w:asciiTheme="majorBidi" w:eastAsia="Calibri" w:hAnsiTheme="majorBidi" w:cstheme="majorBidi"/>
          </w:rPr>
          <w:t>https://doi.org/10.3109/02841859109177552</w:t>
        </w:r>
      </w:hyperlink>
      <w:r>
        <w:rPr>
          <w:rFonts w:asciiTheme="majorBidi" w:hAnsiTheme="majorBidi" w:cstheme="majorBidi"/>
          <w:color w:val="000000" w:themeColor="text1"/>
        </w:rPr>
        <w:t xml:space="preserve"> </w:t>
      </w:r>
    </w:p>
    <w:p w14:paraId="6128F87C"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proofErr w:type="spellStart"/>
      <w:r w:rsidRPr="005F51E7">
        <w:rPr>
          <w:rFonts w:asciiTheme="majorBidi" w:eastAsia="Calibri" w:hAnsiTheme="majorBidi" w:cstheme="majorBidi"/>
          <w:color w:val="000000"/>
        </w:rPr>
        <w:t>Iacoviello</w:t>
      </w:r>
      <w:proofErr w:type="spellEnd"/>
      <w:r w:rsidRPr="005F51E7">
        <w:rPr>
          <w:rFonts w:asciiTheme="majorBidi" w:eastAsia="Calibri" w:hAnsiTheme="majorBidi" w:cstheme="majorBidi"/>
          <w:color w:val="000000"/>
        </w:rPr>
        <w:t xml:space="preserve">, L., </w:t>
      </w:r>
      <w:proofErr w:type="spellStart"/>
      <w:r w:rsidRPr="005F51E7">
        <w:rPr>
          <w:rFonts w:asciiTheme="majorBidi" w:eastAsia="Calibri" w:hAnsiTheme="majorBidi" w:cstheme="majorBidi"/>
          <w:color w:val="000000"/>
        </w:rPr>
        <w:t>Bonaccio</w:t>
      </w:r>
      <w:proofErr w:type="spellEnd"/>
      <w:r w:rsidRPr="005F51E7">
        <w:rPr>
          <w:rFonts w:asciiTheme="majorBidi" w:eastAsia="Calibri" w:hAnsiTheme="majorBidi" w:cstheme="majorBidi"/>
          <w:color w:val="000000"/>
        </w:rPr>
        <w:t xml:space="preserve">, M., De Gaetano, G., &amp; </w:t>
      </w:r>
      <w:proofErr w:type="spellStart"/>
      <w:r w:rsidRPr="005F51E7">
        <w:rPr>
          <w:rFonts w:asciiTheme="majorBidi" w:eastAsia="Calibri" w:hAnsiTheme="majorBidi" w:cstheme="majorBidi"/>
          <w:color w:val="000000"/>
        </w:rPr>
        <w:t>Donati</w:t>
      </w:r>
      <w:proofErr w:type="spellEnd"/>
      <w:r w:rsidRPr="005F51E7">
        <w:rPr>
          <w:rFonts w:asciiTheme="majorBidi" w:eastAsia="Calibri" w:hAnsiTheme="majorBidi" w:cstheme="majorBidi"/>
          <w:color w:val="000000"/>
        </w:rPr>
        <w:t xml:space="preserve">, M. B. (2021). Epidemiology of breast cancer, a paradigm of the “common soil” hypothesis. In Seminars in Cancer Biology (Vol. 72, pp. 4–10). Academic Press. </w:t>
      </w:r>
      <w:hyperlink r:id="rId16" w:history="1">
        <w:r w:rsidRPr="009E0F14">
          <w:rPr>
            <w:rStyle w:val="Hyperlink"/>
            <w:rFonts w:asciiTheme="majorBidi" w:eastAsia="Calibri" w:hAnsiTheme="majorBidi" w:cstheme="majorBidi"/>
          </w:rPr>
          <w:t>https://doi.org/10.1016/j.semcancer.2020.02.010</w:t>
        </w:r>
      </w:hyperlink>
      <w:r>
        <w:rPr>
          <w:rFonts w:asciiTheme="majorBidi" w:hAnsiTheme="majorBidi" w:cstheme="majorBidi"/>
          <w:color w:val="000000" w:themeColor="text1"/>
        </w:rPr>
        <w:t xml:space="preserve"> </w:t>
      </w:r>
    </w:p>
    <w:p w14:paraId="33A3DCEB"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Sprague, B. L., et al. (2018). Hormonal factors and risk of breast cancer. Journal of Clinical Oncology, 36(10), 1027–1035.</w:t>
      </w:r>
      <w:r>
        <w:rPr>
          <w:rFonts w:asciiTheme="majorBidi" w:hAnsiTheme="majorBidi" w:cstheme="majorBidi"/>
          <w:color w:val="000000" w:themeColor="text1"/>
        </w:rPr>
        <w:t xml:space="preserve"> </w:t>
      </w:r>
    </w:p>
    <w:p w14:paraId="6B42507F"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Malik, I. A., Sharif, S., Malik, F., &amp; </w:t>
      </w:r>
      <w:proofErr w:type="spellStart"/>
      <w:r w:rsidRPr="005F51E7">
        <w:rPr>
          <w:rFonts w:asciiTheme="majorBidi" w:eastAsia="Calibri" w:hAnsiTheme="majorBidi" w:cstheme="majorBidi"/>
          <w:color w:val="000000"/>
        </w:rPr>
        <w:t>Hakimali</w:t>
      </w:r>
      <w:proofErr w:type="spellEnd"/>
      <w:r w:rsidRPr="005F51E7">
        <w:rPr>
          <w:rFonts w:asciiTheme="majorBidi" w:eastAsia="Calibri" w:hAnsiTheme="majorBidi" w:cstheme="majorBidi"/>
          <w:color w:val="000000"/>
        </w:rPr>
        <w:t xml:space="preserve">, A., et al. (1993). Nutritional aspects of mammary carcinogenesis: A case-control study. JPMA: Journal of the Pakistan Medical Association, 43(6), 118–120. </w:t>
      </w:r>
      <w:hyperlink r:id="rId17" w:history="1">
        <w:r w:rsidRPr="009E0F14">
          <w:rPr>
            <w:rStyle w:val="Hyperlink"/>
            <w:rFonts w:asciiTheme="majorBidi" w:eastAsia="Calibri" w:hAnsiTheme="majorBidi" w:cstheme="majorBidi"/>
          </w:rPr>
          <w:t>https://ecommons.aku.edu/pakistan_fhs_mc_med_intern_med/79</w:t>
        </w:r>
      </w:hyperlink>
      <w:r>
        <w:rPr>
          <w:rFonts w:asciiTheme="majorBidi" w:hAnsiTheme="majorBidi" w:cstheme="majorBidi"/>
          <w:color w:val="000000" w:themeColor="text1"/>
        </w:rPr>
        <w:t xml:space="preserve"> </w:t>
      </w:r>
    </w:p>
    <w:p w14:paraId="202B376A"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Lee, I. M., Cook, N. R., </w:t>
      </w:r>
      <w:proofErr w:type="spellStart"/>
      <w:r w:rsidRPr="005F51E7">
        <w:rPr>
          <w:rFonts w:asciiTheme="majorBidi" w:eastAsia="Calibri" w:hAnsiTheme="majorBidi" w:cstheme="majorBidi"/>
          <w:color w:val="000000"/>
        </w:rPr>
        <w:t>Rexrode</w:t>
      </w:r>
      <w:proofErr w:type="spellEnd"/>
      <w:r w:rsidRPr="005F51E7">
        <w:rPr>
          <w:rFonts w:asciiTheme="majorBidi" w:eastAsia="Calibri" w:hAnsiTheme="majorBidi" w:cstheme="majorBidi"/>
          <w:color w:val="000000"/>
        </w:rPr>
        <w:t xml:space="preserve">, K. M., &amp; </w:t>
      </w:r>
      <w:proofErr w:type="spellStart"/>
      <w:r w:rsidRPr="005F51E7">
        <w:rPr>
          <w:rFonts w:asciiTheme="majorBidi" w:eastAsia="Calibri" w:hAnsiTheme="majorBidi" w:cstheme="majorBidi"/>
          <w:color w:val="000000"/>
        </w:rPr>
        <w:t>Buring</w:t>
      </w:r>
      <w:proofErr w:type="spellEnd"/>
      <w:r w:rsidRPr="005F51E7">
        <w:rPr>
          <w:rFonts w:asciiTheme="majorBidi" w:eastAsia="Calibri" w:hAnsiTheme="majorBidi" w:cstheme="majorBidi"/>
          <w:color w:val="000000"/>
        </w:rPr>
        <w:t xml:space="preserve">, J. E. (2001). Lifetime physical activity and risk of breast cancer. British Journal of Cancer. </w:t>
      </w:r>
      <w:hyperlink r:id="rId18" w:history="1">
        <w:r w:rsidRPr="009E0F14">
          <w:rPr>
            <w:rStyle w:val="Hyperlink"/>
            <w:rFonts w:asciiTheme="majorBidi" w:eastAsia="Calibri" w:hAnsiTheme="majorBidi" w:cstheme="majorBidi"/>
          </w:rPr>
          <w:t>https://doi.org/10.1054/bjoc.2001.2003</w:t>
        </w:r>
      </w:hyperlink>
      <w:r>
        <w:rPr>
          <w:rFonts w:asciiTheme="majorBidi" w:hAnsiTheme="majorBidi" w:cstheme="majorBidi"/>
          <w:color w:val="000000" w:themeColor="text1"/>
        </w:rPr>
        <w:t xml:space="preserve"> </w:t>
      </w:r>
    </w:p>
    <w:p w14:paraId="7651ABF2"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proofErr w:type="spellStart"/>
      <w:r w:rsidRPr="005F51E7">
        <w:rPr>
          <w:rFonts w:asciiTheme="majorBidi" w:eastAsia="Calibri" w:hAnsiTheme="majorBidi" w:cstheme="majorBidi"/>
          <w:color w:val="000000"/>
        </w:rPr>
        <w:t>Huneidi</w:t>
      </w:r>
      <w:proofErr w:type="spellEnd"/>
      <w:r w:rsidRPr="005F51E7">
        <w:rPr>
          <w:rFonts w:asciiTheme="majorBidi" w:eastAsia="Calibri" w:hAnsiTheme="majorBidi" w:cstheme="majorBidi"/>
          <w:color w:val="000000"/>
        </w:rPr>
        <w:t>, S. A., Wright, N. C., Atkinson, A., Bhatia, S., et al. (2018). Factors associated with physical inactivity in adult breast cancer survivors—</w:t>
      </w:r>
      <w:proofErr w:type="gramStart"/>
      <w:r w:rsidRPr="005F51E7">
        <w:rPr>
          <w:rFonts w:asciiTheme="majorBidi" w:eastAsia="Calibri" w:hAnsiTheme="majorBidi" w:cstheme="majorBidi"/>
          <w:color w:val="000000"/>
        </w:rPr>
        <w:t>A</w:t>
      </w:r>
      <w:proofErr w:type="gramEnd"/>
      <w:r w:rsidRPr="005F51E7">
        <w:rPr>
          <w:rFonts w:asciiTheme="majorBidi" w:eastAsia="Calibri" w:hAnsiTheme="majorBidi" w:cstheme="majorBidi"/>
          <w:color w:val="000000"/>
        </w:rPr>
        <w:t xml:space="preserve"> population‐based study. Cancer Medicine, 7(6). </w:t>
      </w:r>
      <w:hyperlink r:id="rId19" w:history="1">
        <w:r w:rsidRPr="009E0F14">
          <w:rPr>
            <w:rStyle w:val="Hyperlink"/>
            <w:rFonts w:asciiTheme="majorBidi" w:eastAsia="Calibri" w:hAnsiTheme="majorBidi" w:cstheme="majorBidi"/>
          </w:rPr>
          <w:t>https://doi.org/10.1002/cam4.1847</w:t>
        </w:r>
      </w:hyperlink>
      <w:r>
        <w:rPr>
          <w:rFonts w:asciiTheme="majorBidi" w:hAnsiTheme="majorBidi" w:cstheme="majorBidi"/>
          <w:color w:val="000000" w:themeColor="text1"/>
        </w:rPr>
        <w:t xml:space="preserve"> </w:t>
      </w:r>
    </w:p>
    <w:p w14:paraId="6A47CA4E"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Vieira, R., Sánchez </w:t>
      </w:r>
      <w:proofErr w:type="spellStart"/>
      <w:r w:rsidRPr="005F51E7">
        <w:rPr>
          <w:rFonts w:asciiTheme="majorBidi" w:eastAsia="Calibri" w:hAnsiTheme="majorBidi" w:cstheme="majorBidi"/>
          <w:color w:val="000000"/>
        </w:rPr>
        <w:t>Tobar</w:t>
      </w:r>
      <w:proofErr w:type="spellEnd"/>
      <w:r w:rsidRPr="005F51E7">
        <w:rPr>
          <w:rFonts w:asciiTheme="majorBidi" w:eastAsia="Calibri" w:hAnsiTheme="majorBidi" w:cstheme="majorBidi"/>
          <w:color w:val="000000"/>
        </w:rPr>
        <w:t xml:space="preserve">, J. S., </w:t>
      </w:r>
      <w:proofErr w:type="spellStart"/>
      <w:r w:rsidRPr="005F51E7">
        <w:rPr>
          <w:rFonts w:asciiTheme="majorBidi" w:eastAsia="Calibri" w:hAnsiTheme="majorBidi" w:cstheme="majorBidi"/>
          <w:color w:val="000000"/>
        </w:rPr>
        <w:t>Dardes</w:t>
      </w:r>
      <w:proofErr w:type="spellEnd"/>
      <w:r w:rsidRPr="005F51E7">
        <w:rPr>
          <w:rFonts w:asciiTheme="majorBidi" w:eastAsia="Calibri" w:hAnsiTheme="majorBidi" w:cstheme="majorBidi"/>
          <w:color w:val="000000"/>
        </w:rPr>
        <w:t xml:space="preserve">, R., &amp; Santos </w:t>
      </w:r>
      <w:proofErr w:type="spellStart"/>
      <w:r w:rsidRPr="005F51E7">
        <w:rPr>
          <w:rFonts w:asciiTheme="majorBidi" w:eastAsia="Calibri" w:hAnsiTheme="majorBidi" w:cstheme="majorBidi"/>
          <w:color w:val="000000"/>
        </w:rPr>
        <w:t>Thuler</w:t>
      </w:r>
      <w:proofErr w:type="spellEnd"/>
      <w:r w:rsidRPr="005F51E7">
        <w:rPr>
          <w:rFonts w:asciiTheme="majorBidi" w:eastAsia="Calibri" w:hAnsiTheme="majorBidi" w:cstheme="majorBidi"/>
          <w:color w:val="000000"/>
        </w:rPr>
        <w:t xml:space="preserve">, L. C. (2018). Alcohol consumption as a risk factor for breast cancer development: A case-control study in Brazil. Asian Pacific Journal of Cancer Prevention, 19(3), 703–707. </w:t>
      </w:r>
      <w:hyperlink r:id="rId20" w:history="1">
        <w:r w:rsidRPr="009E0F14">
          <w:rPr>
            <w:rStyle w:val="Hyperlink"/>
            <w:rFonts w:asciiTheme="majorBidi" w:eastAsia="Calibri" w:hAnsiTheme="majorBidi" w:cstheme="majorBidi"/>
          </w:rPr>
          <w:t>https://doi.org/10.22034/APJCP.2018.19.3.703</w:t>
        </w:r>
      </w:hyperlink>
      <w:r>
        <w:rPr>
          <w:rFonts w:asciiTheme="majorBidi" w:hAnsiTheme="majorBidi" w:cstheme="majorBidi"/>
          <w:color w:val="000000" w:themeColor="text1"/>
        </w:rPr>
        <w:t xml:space="preserve"> </w:t>
      </w:r>
    </w:p>
    <w:p w14:paraId="5ABE6CF6" w14:textId="77777777" w:rsidR="005F51E7" w:rsidRDefault="005F51E7" w:rsidP="00EA66FF">
      <w:pPr>
        <w:numPr>
          <w:ilvl w:val="0"/>
          <w:numId w:val="2"/>
        </w:numPr>
        <w:autoSpaceDE w:val="0"/>
        <w:autoSpaceDN w:val="0"/>
        <w:adjustRightInd w:val="0"/>
        <w:spacing w:after="200" w:line="276" w:lineRule="auto"/>
        <w:ind w:left="284" w:hanging="284"/>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T., A., G., G., C., A., &amp; M., L., et al. (2017). The impact of reproductive life on breast cancer risk in women with family history or BRCA mutation. </w:t>
      </w:r>
      <w:proofErr w:type="spellStart"/>
      <w:r w:rsidRPr="005F51E7">
        <w:rPr>
          <w:rFonts w:asciiTheme="majorBidi" w:eastAsia="Calibri" w:hAnsiTheme="majorBidi" w:cstheme="majorBidi"/>
          <w:color w:val="000000"/>
        </w:rPr>
        <w:t>Oncotarget</w:t>
      </w:r>
      <w:proofErr w:type="spellEnd"/>
      <w:r w:rsidRPr="005F51E7">
        <w:rPr>
          <w:rFonts w:asciiTheme="majorBidi" w:eastAsia="Calibri" w:hAnsiTheme="majorBidi" w:cstheme="majorBidi"/>
          <w:color w:val="000000"/>
        </w:rPr>
        <w:t xml:space="preserve">, 8(6), 9144–9154. </w:t>
      </w:r>
      <w:hyperlink r:id="rId21" w:history="1">
        <w:r w:rsidRPr="009E0F14">
          <w:rPr>
            <w:rStyle w:val="Hyperlink"/>
            <w:rFonts w:asciiTheme="majorBidi" w:eastAsia="Calibri" w:hAnsiTheme="majorBidi" w:cstheme="majorBidi"/>
          </w:rPr>
          <w:t>https://doi.org/10.18632/oncotarget.13423</w:t>
        </w:r>
      </w:hyperlink>
      <w:r>
        <w:rPr>
          <w:rFonts w:asciiTheme="majorBidi" w:hAnsiTheme="majorBidi" w:cstheme="majorBidi"/>
          <w:color w:val="000000" w:themeColor="text1"/>
        </w:rPr>
        <w:t xml:space="preserve"> </w:t>
      </w:r>
    </w:p>
    <w:p w14:paraId="71469504"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5F51E7">
        <w:rPr>
          <w:rFonts w:asciiTheme="majorBidi" w:eastAsia="Calibri" w:hAnsiTheme="majorBidi" w:cstheme="majorBidi"/>
          <w:color w:val="000000"/>
        </w:rPr>
        <w:t xml:space="preserve">Boyd, N. F., et al. (2007). Mammographic density and the risk and detection of breast cancer. The New England Journal of Medicine, 356(3), 227–236. </w:t>
      </w:r>
      <w:hyperlink r:id="rId22" w:history="1">
        <w:r w:rsidR="00C149BF" w:rsidRPr="009E0F14">
          <w:rPr>
            <w:rStyle w:val="Hyperlink"/>
            <w:rFonts w:asciiTheme="majorBidi" w:eastAsia="Calibri" w:hAnsiTheme="majorBidi" w:cstheme="majorBidi"/>
          </w:rPr>
          <w:t>https://doi.org/10.1056/NEJMoa062790</w:t>
        </w:r>
      </w:hyperlink>
      <w:r w:rsidR="00C149BF">
        <w:rPr>
          <w:rFonts w:asciiTheme="majorBidi" w:hAnsiTheme="majorBidi" w:cstheme="majorBidi"/>
          <w:color w:val="000000" w:themeColor="text1"/>
        </w:rPr>
        <w:t xml:space="preserve"> </w:t>
      </w:r>
    </w:p>
    <w:p w14:paraId="039003D7"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American Cancer Society. (2020). Breast cancer facts &amp; figures. American Cancer Society.</w:t>
      </w:r>
      <w:r w:rsidR="00C149BF">
        <w:rPr>
          <w:rFonts w:asciiTheme="majorBidi" w:hAnsiTheme="majorBidi" w:cstheme="majorBidi"/>
          <w:color w:val="000000" w:themeColor="text1"/>
        </w:rPr>
        <w:t xml:space="preserve"> </w:t>
      </w:r>
    </w:p>
    <w:p w14:paraId="1D3E5739"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proofErr w:type="spellStart"/>
      <w:r w:rsidRPr="00C149BF">
        <w:rPr>
          <w:rFonts w:asciiTheme="majorBidi" w:eastAsia="Calibri" w:hAnsiTheme="majorBidi" w:cstheme="majorBidi"/>
          <w:color w:val="000000"/>
        </w:rPr>
        <w:t>Kerlikowske</w:t>
      </w:r>
      <w:proofErr w:type="spellEnd"/>
      <w:r w:rsidRPr="00C149BF">
        <w:rPr>
          <w:rFonts w:asciiTheme="majorBidi" w:eastAsia="Calibri" w:hAnsiTheme="majorBidi" w:cstheme="majorBidi"/>
          <w:color w:val="000000"/>
        </w:rPr>
        <w:t>, K., et al. (2019). The Mammography Quality Standards Act: An update. Radiology, 292(1), 220–226.</w:t>
      </w:r>
      <w:r w:rsidR="00C149BF">
        <w:rPr>
          <w:rFonts w:asciiTheme="majorBidi" w:hAnsiTheme="majorBidi" w:cstheme="majorBidi"/>
          <w:color w:val="000000" w:themeColor="text1"/>
        </w:rPr>
        <w:t xml:space="preserve"> </w:t>
      </w:r>
    </w:p>
    <w:p w14:paraId="5BC45C4A"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Elmore, J. G., et al. (1998). Variability in radiologists’ interpretations of mammograms. The New England Journal of Medicine, 338(16), 1081–1086.</w:t>
      </w:r>
      <w:r w:rsidR="00C149BF">
        <w:rPr>
          <w:rFonts w:asciiTheme="majorBidi" w:hAnsiTheme="majorBidi" w:cstheme="majorBidi"/>
          <w:color w:val="000000" w:themeColor="text1"/>
        </w:rPr>
        <w:t xml:space="preserve"> </w:t>
      </w:r>
    </w:p>
    <w:p w14:paraId="071C72AA"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 xml:space="preserve">Hosmer, D. W., &amp; </w:t>
      </w:r>
      <w:proofErr w:type="spellStart"/>
      <w:r w:rsidRPr="00C149BF">
        <w:rPr>
          <w:rFonts w:asciiTheme="majorBidi" w:eastAsia="Calibri" w:hAnsiTheme="majorBidi" w:cstheme="majorBidi"/>
          <w:color w:val="000000"/>
        </w:rPr>
        <w:t>Lemeshow</w:t>
      </w:r>
      <w:proofErr w:type="spellEnd"/>
      <w:r w:rsidRPr="00C149BF">
        <w:rPr>
          <w:rFonts w:asciiTheme="majorBidi" w:eastAsia="Calibri" w:hAnsiTheme="majorBidi" w:cstheme="majorBidi"/>
          <w:color w:val="000000"/>
        </w:rPr>
        <w:t>, S. (2000). Applied logistic regression. Wiley.</w:t>
      </w:r>
      <w:r w:rsidR="00C149BF">
        <w:rPr>
          <w:rFonts w:asciiTheme="majorBidi" w:hAnsiTheme="majorBidi" w:cstheme="majorBidi"/>
          <w:color w:val="000000" w:themeColor="text1"/>
        </w:rPr>
        <w:t xml:space="preserve"> </w:t>
      </w:r>
    </w:p>
    <w:p w14:paraId="529C6F4A"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 xml:space="preserve">Miller, M. M., </w:t>
      </w:r>
      <w:proofErr w:type="spellStart"/>
      <w:r w:rsidRPr="00C149BF">
        <w:rPr>
          <w:rFonts w:asciiTheme="majorBidi" w:eastAsia="Calibri" w:hAnsiTheme="majorBidi" w:cstheme="majorBidi"/>
          <w:color w:val="000000"/>
        </w:rPr>
        <w:t>Vasiliadis</w:t>
      </w:r>
      <w:proofErr w:type="spellEnd"/>
      <w:r w:rsidRPr="00C149BF">
        <w:rPr>
          <w:rFonts w:asciiTheme="majorBidi" w:eastAsia="Calibri" w:hAnsiTheme="majorBidi" w:cstheme="majorBidi"/>
          <w:color w:val="000000"/>
        </w:rPr>
        <w:t xml:space="preserve">, T., </w:t>
      </w:r>
      <w:proofErr w:type="spellStart"/>
      <w:r w:rsidRPr="00C149BF">
        <w:rPr>
          <w:rFonts w:asciiTheme="majorBidi" w:eastAsia="Calibri" w:hAnsiTheme="majorBidi" w:cstheme="majorBidi"/>
          <w:color w:val="000000"/>
        </w:rPr>
        <w:t>Rochman</w:t>
      </w:r>
      <w:proofErr w:type="spellEnd"/>
      <w:r w:rsidRPr="00C149BF">
        <w:rPr>
          <w:rFonts w:asciiTheme="majorBidi" w:eastAsia="Calibri" w:hAnsiTheme="majorBidi" w:cstheme="majorBidi"/>
          <w:color w:val="000000"/>
        </w:rPr>
        <w:t xml:space="preserve">, C. M., </w:t>
      </w:r>
      <w:proofErr w:type="spellStart"/>
      <w:r w:rsidRPr="00C149BF">
        <w:rPr>
          <w:rFonts w:asciiTheme="majorBidi" w:eastAsia="Calibri" w:hAnsiTheme="majorBidi" w:cstheme="majorBidi"/>
          <w:color w:val="000000"/>
        </w:rPr>
        <w:t>Repich</w:t>
      </w:r>
      <w:proofErr w:type="spellEnd"/>
      <w:r w:rsidRPr="00C149BF">
        <w:rPr>
          <w:rFonts w:asciiTheme="majorBidi" w:eastAsia="Calibri" w:hAnsiTheme="majorBidi" w:cstheme="majorBidi"/>
          <w:color w:val="000000"/>
        </w:rPr>
        <w:t xml:space="preserve">, K., </w:t>
      </w:r>
      <w:proofErr w:type="spellStart"/>
      <w:r w:rsidRPr="00C149BF">
        <w:rPr>
          <w:rFonts w:asciiTheme="majorBidi" w:eastAsia="Calibri" w:hAnsiTheme="majorBidi" w:cstheme="majorBidi"/>
          <w:color w:val="000000"/>
        </w:rPr>
        <w:t>Patrie</w:t>
      </w:r>
      <w:proofErr w:type="spellEnd"/>
      <w:r w:rsidRPr="00C149BF">
        <w:rPr>
          <w:rFonts w:asciiTheme="majorBidi" w:eastAsia="Calibri" w:hAnsiTheme="majorBidi" w:cstheme="majorBidi"/>
          <w:color w:val="000000"/>
        </w:rPr>
        <w:t xml:space="preserve">, J. T., Anderson, R. T., &amp; Harvey, J. A. (2023). Factors associated with perceived personal risk for breast cancer among women with dense breasts. Clinical Imaging, 93, 34–38. </w:t>
      </w:r>
      <w:hyperlink r:id="rId23" w:history="1">
        <w:r w:rsidR="00C149BF" w:rsidRPr="009E0F14">
          <w:rPr>
            <w:rStyle w:val="Hyperlink"/>
            <w:rFonts w:asciiTheme="majorBidi" w:eastAsia="Calibri" w:hAnsiTheme="majorBidi" w:cstheme="majorBidi"/>
          </w:rPr>
          <w:t>https://doi.org/10.1016/j.clinimag.2022.11.002</w:t>
        </w:r>
      </w:hyperlink>
      <w:r w:rsidR="00C149BF">
        <w:rPr>
          <w:rFonts w:asciiTheme="majorBidi" w:hAnsiTheme="majorBidi" w:cstheme="majorBidi"/>
          <w:color w:val="000000" w:themeColor="text1"/>
        </w:rPr>
        <w:t xml:space="preserve"> </w:t>
      </w:r>
    </w:p>
    <w:p w14:paraId="3158D2B4"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proofErr w:type="spellStart"/>
      <w:r w:rsidRPr="00C149BF">
        <w:rPr>
          <w:rFonts w:asciiTheme="majorBidi" w:eastAsia="Calibri" w:hAnsiTheme="majorBidi" w:cstheme="majorBidi"/>
          <w:color w:val="000000"/>
        </w:rPr>
        <w:t>Bravi</w:t>
      </w:r>
      <w:proofErr w:type="spellEnd"/>
      <w:r w:rsidRPr="00C149BF">
        <w:rPr>
          <w:rFonts w:asciiTheme="majorBidi" w:eastAsia="Calibri" w:hAnsiTheme="majorBidi" w:cstheme="majorBidi"/>
          <w:color w:val="000000"/>
        </w:rPr>
        <w:t xml:space="preserve">, F., </w:t>
      </w:r>
      <w:proofErr w:type="spellStart"/>
      <w:r w:rsidRPr="00C149BF">
        <w:rPr>
          <w:rFonts w:asciiTheme="majorBidi" w:eastAsia="Calibri" w:hAnsiTheme="majorBidi" w:cstheme="majorBidi"/>
          <w:color w:val="000000"/>
        </w:rPr>
        <w:t>Decarli</w:t>
      </w:r>
      <w:proofErr w:type="spellEnd"/>
      <w:r w:rsidRPr="00C149BF">
        <w:rPr>
          <w:rFonts w:asciiTheme="majorBidi" w:eastAsia="Calibri" w:hAnsiTheme="majorBidi" w:cstheme="majorBidi"/>
          <w:color w:val="000000"/>
        </w:rPr>
        <w:t xml:space="preserve">, A., &amp; Russo, A. G. (2018). Risk factors for breast cancer in a cohort of mammographic screening program: A nested case–control study within the </w:t>
      </w:r>
      <w:proofErr w:type="spellStart"/>
      <w:r w:rsidRPr="00C149BF">
        <w:rPr>
          <w:rFonts w:asciiTheme="majorBidi" w:eastAsia="Calibri" w:hAnsiTheme="majorBidi" w:cstheme="majorBidi"/>
          <w:color w:val="000000"/>
        </w:rPr>
        <w:t>FRiCaM</w:t>
      </w:r>
      <w:proofErr w:type="spellEnd"/>
      <w:r w:rsidRPr="00C149BF">
        <w:rPr>
          <w:rFonts w:asciiTheme="majorBidi" w:eastAsia="Calibri" w:hAnsiTheme="majorBidi" w:cstheme="majorBidi"/>
          <w:color w:val="000000"/>
        </w:rPr>
        <w:t xml:space="preserve"> study. Cancer Medicine, 7(5), 2145–2152. </w:t>
      </w:r>
      <w:hyperlink r:id="rId24" w:history="1">
        <w:r w:rsidR="00C149BF" w:rsidRPr="009E0F14">
          <w:rPr>
            <w:rStyle w:val="Hyperlink"/>
            <w:rFonts w:asciiTheme="majorBidi" w:eastAsia="Calibri" w:hAnsiTheme="majorBidi" w:cstheme="majorBidi"/>
          </w:rPr>
          <w:t>https://doi.org/10.1002/cam4.1427</w:t>
        </w:r>
      </w:hyperlink>
      <w:r w:rsidR="00C149BF">
        <w:rPr>
          <w:rFonts w:asciiTheme="majorBidi" w:hAnsiTheme="majorBidi" w:cstheme="majorBidi"/>
          <w:color w:val="000000" w:themeColor="text1"/>
        </w:rPr>
        <w:t xml:space="preserve"> </w:t>
      </w:r>
    </w:p>
    <w:p w14:paraId="25507364"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proofErr w:type="spellStart"/>
      <w:r w:rsidRPr="00C149BF">
        <w:rPr>
          <w:rFonts w:asciiTheme="majorBidi" w:eastAsia="Calibri" w:hAnsiTheme="majorBidi" w:cstheme="majorBidi"/>
          <w:color w:val="000000"/>
        </w:rPr>
        <w:lastRenderedPageBreak/>
        <w:t>Apostolou</w:t>
      </w:r>
      <w:proofErr w:type="spellEnd"/>
      <w:r w:rsidRPr="00C149BF">
        <w:rPr>
          <w:rFonts w:asciiTheme="majorBidi" w:eastAsia="Calibri" w:hAnsiTheme="majorBidi" w:cstheme="majorBidi"/>
          <w:color w:val="000000"/>
        </w:rPr>
        <w:t xml:space="preserve">, P., &amp; </w:t>
      </w:r>
      <w:proofErr w:type="spellStart"/>
      <w:r w:rsidRPr="00C149BF">
        <w:rPr>
          <w:rFonts w:asciiTheme="majorBidi" w:eastAsia="Calibri" w:hAnsiTheme="majorBidi" w:cstheme="majorBidi"/>
          <w:color w:val="000000"/>
        </w:rPr>
        <w:t>Fostira</w:t>
      </w:r>
      <w:proofErr w:type="spellEnd"/>
      <w:r w:rsidRPr="00C149BF">
        <w:rPr>
          <w:rFonts w:asciiTheme="majorBidi" w:eastAsia="Calibri" w:hAnsiTheme="majorBidi" w:cstheme="majorBidi"/>
          <w:color w:val="000000"/>
        </w:rPr>
        <w:t xml:space="preserve">, F. (2013). Hereditary breast cancer: The era of new susceptibility genes. </w:t>
      </w:r>
      <w:proofErr w:type="spellStart"/>
      <w:r w:rsidRPr="00C149BF">
        <w:rPr>
          <w:rFonts w:asciiTheme="majorBidi" w:eastAsia="Calibri" w:hAnsiTheme="majorBidi" w:cstheme="majorBidi"/>
          <w:color w:val="000000"/>
        </w:rPr>
        <w:t>BioMed</w:t>
      </w:r>
      <w:proofErr w:type="spellEnd"/>
      <w:r w:rsidRPr="00C149BF">
        <w:rPr>
          <w:rFonts w:asciiTheme="majorBidi" w:eastAsia="Calibri" w:hAnsiTheme="majorBidi" w:cstheme="majorBidi"/>
          <w:color w:val="000000"/>
        </w:rPr>
        <w:t xml:space="preserve"> Research International, 2013, Article 747318. </w:t>
      </w:r>
      <w:hyperlink r:id="rId25" w:history="1">
        <w:r w:rsidR="00C149BF" w:rsidRPr="009E0F14">
          <w:rPr>
            <w:rStyle w:val="Hyperlink"/>
            <w:rFonts w:asciiTheme="majorBidi" w:eastAsia="Calibri" w:hAnsiTheme="majorBidi" w:cstheme="majorBidi"/>
          </w:rPr>
          <w:t>https://doi.org/10.1155/2013/747318</w:t>
        </w:r>
      </w:hyperlink>
      <w:r w:rsidR="00C149BF">
        <w:rPr>
          <w:rFonts w:asciiTheme="majorBidi" w:hAnsiTheme="majorBidi" w:cstheme="majorBidi"/>
          <w:color w:val="000000" w:themeColor="text1"/>
        </w:rPr>
        <w:t xml:space="preserve"> </w:t>
      </w:r>
    </w:p>
    <w:p w14:paraId="5819747A"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 xml:space="preserve">Alexandre, D., </w:t>
      </w:r>
      <w:proofErr w:type="spellStart"/>
      <w:r w:rsidRPr="00C149BF">
        <w:rPr>
          <w:rFonts w:asciiTheme="majorBidi" w:eastAsia="Calibri" w:hAnsiTheme="majorBidi" w:cstheme="majorBidi"/>
          <w:color w:val="000000"/>
        </w:rPr>
        <w:t>Cebola</w:t>
      </w:r>
      <w:proofErr w:type="spellEnd"/>
      <w:r w:rsidRPr="00C149BF">
        <w:rPr>
          <w:rFonts w:asciiTheme="majorBidi" w:eastAsia="Calibri" w:hAnsiTheme="majorBidi" w:cstheme="majorBidi"/>
          <w:color w:val="000000"/>
        </w:rPr>
        <w:t>, M., &amp; Mendes, L. (2015). Nutrition, body composition and breast cancer.</w:t>
      </w:r>
      <w:r w:rsidR="00C149BF">
        <w:rPr>
          <w:rFonts w:asciiTheme="majorBidi" w:hAnsiTheme="majorBidi" w:cstheme="majorBidi"/>
          <w:color w:val="000000" w:themeColor="text1"/>
        </w:rPr>
        <w:t xml:space="preserve"> </w:t>
      </w:r>
    </w:p>
    <w:p w14:paraId="3F083801"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 xml:space="preserve">Coombs, N. J., Taylor, R., </w:t>
      </w:r>
      <w:proofErr w:type="spellStart"/>
      <w:r w:rsidRPr="00C149BF">
        <w:rPr>
          <w:rFonts w:asciiTheme="majorBidi" w:eastAsia="Calibri" w:hAnsiTheme="majorBidi" w:cstheme="majorBidi"/>
          <w:color w:val="000000"/>
        </w:rPr>
        <w:t>Wilcken</w:t>
      </w:r>
      <w:proofErr w:type="spellEnd"/>
      <w:r w:rsidRPr="00C149BF">
        <w:rPr>
          <w:rFonts w:asciiTheme="majorBidi" w:eastAsia="Calibri" w:hAnsiTheme="majorBidi" w:cstheme="majorBidi"/>
          <w:color w:val="000000"/>
        </w:rPr>
        <w:t xml:space="preserve">, N., &amp; </w:t>
      </w:r>
      <w:proofErr w:type="spellStart"/>
      <w:r w:rsidRPr="00C149BF">
        <w:rPr>
          <w:rFonts w:asciiTheme="majorBidi" w:eastAsia="Calibri" w:hAnsiTheme="majorBidi" w:cstheme="majorBidi"/>
          <w:color w:val="000000"/>
        </w:rPr>
        <w:t>Boyages</w:t>
      </w:r>
      <w:proofErr w:type="spellEnd"/>
      <w:r w:rsidRPr="00C149BF">
        <w:rPr>
          <w:rFonts w:asciiTheme="majorBidi" w:eastAsia="Calibri" w:hAnsiTheme="majorBidi" w:cstheme="majorBidi"/>
          <w:color w:val="000000"/>
        </w:rPr>
        <w:t>, J. (2005). Hormone replacement therapy and breast cancer: Estimate of risk: Education debate.</w:t>
      </w:r>
      <w:r w:rsidR="00C149BF">
        <w:rPr>
          <w:rFonts w:asciiTheme="majorBidi" w:hAnsiTheme="majorBidi" w:cstheme="majorBidi"/>
          <w:color w:val="000000" w:themeColor="text1"/>
        </w:rPr>
        <w:t xml:space="preserve"> </w:t>
      </w:r>
    </w:p>
    <w:p w14:paraId="2AAF27EC" w14:textId="77777777" w:rsid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 xml:space="preserve">Daly, A. A., </w:t>
      </w:r>
      <w:proofErr w:type="spellStart"/>
      <w:r w:rsidRPr="00C149BF">
        <w:rPr>
          <w:rFonts w:asciiTheme="majorBidi" w:eastAsia="Calibri" w:hAnsiTheme="majorBidi" w:cstheme="majorBidi"/>
          <w:color w:val="000000"/>
        </w:rPr>
        <w:t>Rolph</w:t>
      </w:r>
      <w:proofErr w:type="spellEnd"/>
      <w:r w:rsidRPr="00C149BF">
        <w:rPr>
          <w:rFonts w:asciiTheme="majorBidi" w:eastAsia="Calibri" w:hAnsiTheme="majorBidi" w:cstheme="majorBidi"/>
          <w:color w:val="000000"/>
        </w:rPr>
        <w:t xml:space="preserve">, R., </w:t>
      </w:r>
      <w:proofErr w:type="spellStart"/>
      <w:r w:rsidRPr="00C149BF">
        <w:rPr>
          <w:rFonts w:asciiTheme="majorBidi" w:eastAsia="Calibri" w:hAnsiTheme="majorBidi" w:cstheme="majorBidi"/>
          <w:color w:val="000000"/>
        </w:rPr>
        <w:t>Cutress</w:t>
      </w:r>
      <w:proofErr w:type="spellEnd"/>
      <w:r w:rsidRPr="00C149BF">
        <w:rPr>
          <w:rFonts w:asciiTheme="majorBidi" w:eastAsia="Calibri" w:hAnsiTheme="majorBidi" w:cstheme="majorBidi"/>
          <w:color w:val="000000"/>
        </w:rPr>
        <w:t xml:space="preserve">, R. I., &amp; </w:t>
      </w:r>
      <w:proofErr w:type="spellStart"/>
      <w:r w:rsidRPr="00C149BF">
        <w:rPr>
          <w:rFonts w:asciiTheme="majorBidi" w:eastAsia="Calibri" w:hAnsiTheme="majorBidi" w:cstheme="majorBidi"/>
          <w:color w:val="000000"/>
        </w:rPr>
        <w:t>Copson</w:t>
      </w:r>
      <w:proofErr w:type="spellEnd"/>
      <w:r w:rsidRPr="00C149BF">
        <w:rPr>
          <w:rFonts w:asciiTheme="majorBidi" w:eastAsia="Calibri" w:hAnsiTheme="majorBidi" w:cstheme="majorBidi"/>
          <w:color w:val="000000"/>
        </w:rPr>
        <w:t xml:space="preserve">, E. R. (2021). A review of modifiable risk factors in young women for the prevention of breast cancer. Breast Cancer: Targets and Therapy, 13, 241–257. </w:t>
      </w:r>
      <w:hyperlink r:id="rId26" w:history="1">
        <w:r w:rsidR="00C149BF" w:rsidRPr="009E0F14">
          <w:rPr>
            <w:rStyle w:val="Hyperlink"/>
            <w:rFonts w:asciiTheme="majorBidi" w:eastAsia="Calibri" w:hAnsiTheme="majorBidi" w:cstheme="majorBidi"/>
          </w:rPr>
          <w:t>https://doi.org/10.2147/BCTT.S268401</w:t>
        </w:r>
      </w:hyperlink>
      <w:r w:rsidR="00C149BF">
        <w:rPr>
          <w:rFonts w:asciiTheme="majorBidi" w:hAnsiTheme="majorBidi" w:cstheme="majorBidi"/>
          <w:color w:val="000000" w:themeColor="text1"/>
        </w:rPr>
        <w:t xml:space="preserve"> </w:t>
      </w:r>
    </w:p>
    <w:p w14:paraId="6732A4BD" w14:textId="1C9B61FA" w:rsidR="005F51E7" w:rsidRPr="00C149BF" w:rsidRDefault="005F51E7" w:rsidP="00EA66FF">
      <w:pPr>
        <w:numPr>
          <w:ilvl w:val="0"/>
          <w:numId w:val="2"/>
        </w:numPr>
        <w:autoSpaceDE w:val="0"/>
        <w:autoSpaceDN w:val="0"/>
        <w:adjustRightInd w:val="0"/>
        <w:spacing w:after="200" w:line="276" w:lineRule="auto"/>
        <w:ind w:left="426" w:hanging="426"/>
        <w:jc w:val="both"/>
        <w:rPr>
          <w:rFonts w:asciiTheme="majorBidi" w:hAnsiTheme="majorBidi" w:cstheme="majorBidi"/>
          <w:color w:val="000000" w:themeColor="text1"/>
        </w:rPr>
      </w:pPr>
      <w:r w:rsidRPr="00C149BF">
        <w:rPr>
          <w:rFonts w:asciiTheme="majorBidi" w:eastAsia="Calibri" w:hAnsiTheme="majorBidi" w:cstheme="majorBidi"/>
          <w:color w:val="000000"/>
        </w:rPr>
        <w:t>Mandelson, M. T., et al. (2000). Breast density as a predictor of mammographic detection. Annals of Internal Medicine, 133(4), 233–240. https://doi.org/10.1093/jnci/92.13.1081</w:t>
      </w:r>
    </w:p>
    <w:p w14:paraId="55D1D79A"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2ED687CE"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7724B848"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56BEA92D"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6B6D0953"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510B9728"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44B2C9D9"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19F66E63"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1DF59CAA"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7287F148"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64405AF4"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13EE2FF7"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33B2CABB"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6D184405"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56F656B8"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4369C80E"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4C2C9A8D"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6631E86A"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23AE1881"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68EED937"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2E0FF058"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4CE6079E" w14:textId="77777777" w:rsidR="00EA66FF" w:rsidRDefault="00EA66FF" w:rsidP="005F51E7">
      <w:pPr>
        <w:autoSpaceDE w:val="0"/>
        <w:autoSpaceDN w:val="0"/>
        <w:adjustRightInd w:val="0"/>
        <w:spacing w:after="160"/>
        <w:jc w:val="both"/>
        <w:rPr>
          <w:rFonts w:asciiTheme="majorBidi" w:eastAsia="Calibri" w:hAnsiTheme="majorBidi" w:cstheme="majorBidi"/>
          <w:color w:val="000000"/>
        </w:rPr>
      </w:pPr>
    </w:p>
    <w:p w14:paraId="2FBF1888" w14:textId="77777777" w:rsidR="00EA66FF" w:rsidRDefault="00EA66FF" w:rsidP="005F51E7">
      <w:pPr>
        <w:autoSpaceDE w:val="0"/>
        <w:autoSpaceDN w:val="0"/>
        <w:adjustRightInd w:val="0"/>
        <w:spacing w:after="160"/>
        <w:jc w:val="both"/>
        <w:rPr>
          <w:rFonts w:asciiTheme="majorBidi" w:eastAsia="Calibri" w:hAnsiTheme="majorBidi" w:cstheme="majorBidi"/>
          <w:color w:val="000000"/>
        </w:rPr>
      </w:pPr>
    </w:p>
    <w:p w14:paraId="34841FE2" w14:textId="77777777" w:rsidR="005F51E7" w:rsidRDefault="005F51E7" w:rsidP="005F51E7">
      <w:pPr>
        <w:autoSpaceDE w:val="0"/>
        <w:autoSpaceDN w:val="0"/>
        <w:adjustRightInd w:val="0"/>
        <w:spacing w:after="160"/>
        <w:jc w:val="both"/>
        <w:rPr>
          <w:rFonts w:asciiTheme="majorBidi" w:eastAsia="Calibri" w:hAnsiTheme="majorBidi" w:cstheme="majorBidi"/>
          <w:color w:val="000000"/>
        </w:rPr>
      </w:pPr>
    </w:p>
    <w:p w14:paraId="4BC7F89E" w14:textId="77777777" w:rsidR="005F51E7" w:rsidRPr="005F51E7" w:rsidRDefault="005F51E7" w:rsidP="005F51E7">
      <w:pPr>
        <w:autoSpaceDE w:val="0"/>
        <w:autoSpaceDN w:val="0"/>
        <w:adjustRightInd w:val="0"/>
        <w:spacing w:after="160"/>
        <w:jc w:val="both"/>
        <w:rPr>
          <w:rFonts w:asciiTheme="majorBidi" w:eastAsia="Calibri" w:hAnsiTheme="majorBidi" w:cstheme="majorBidi"/>
          <w:color w:val="000000"/>
        </w:rPr>
      </w:pPr>
    </w:p>
    <w:p w14:paraId="168AC2C0" w14:textId="77777777" w:rsidR="004B2054" w:rsidRPr="00C149BF" w:rsidRDefault="004B2054" w:rsidP="00C149BF">
      <w:pPr>
        <w:widowControl w:val="0"/>
        <w:autoSpaceDE w:val="0"/>
        <w:autoSpaceDN w:val="0"/>
        <w:adjustRightInd w:val="0"/>
        <w:ind w:left="426" w:hanging="426"/>
        <w:jc w:val="center"/>
        <w:rPr>
          <w:color w:val="000000"/>
        </w:rPr>
      </w:pPr>
    </w:p>
    <w:p w14:paraId="48FA8214" w14:textId="1A9E6FA1" w:rsidR="00AB50AC" w:rsidRDefault="00AB50AC" w:rsidP="00E94C4C">
      <w:pPr>
        <w:widowControl w:val="0"/>
        <w:autoSpaceDE w:val="0"/>
        <w:autoSpaceDN w:val="0"/>
        <w:adjustRightInd w:val="0"/>
        <w:ind w:left="426" w:hanging="426"/>
        <w:jc w:val="center"/>
        <w:rPr>
          <w:b/>
          <w:bCs/>
          <w:color w:val="000000"/>
          <w:sz w:val="32"/>
          <w:szCs w:val="32"/>
          <w:lang w:bidi="ar"/>
        </w:rPr>
      </w:pPr>
      <w:r w:rsidRPr="00673FFD">
        <w:rPr>
          <w:rFonts w:hint="cs"/>
          <w:b/>
          <w:bCs/>
          <w:color w:val="000000"/>
          <w:sz w:val="32"/>
          <w:szCs w:val="32"/>
          <w:rtl/>
          <w:lang w:bidi="ar"/>
        </w:rPr>
        <w:t>انتشار عوامل الخطر لأورام الثدي التي تم اكتشافها من خلال التصوير الشعاعي للثدي: دراسة مقطعية</w:t>
      </w:r>
      <w:r w:rsidR="00C149BF">
        <w:rPr>
          <w:b/>
          <w:bCs/>
          <w:color w:val="000000"/>
          <w:sz w:val="32"/>
          <w:szCs w:val="32"/>
          <w:lang w:bidi="ar"/>
        </w:rPr>
        <w:t xml:space="preserve"> </w:t>
      </w:r>
    </w:p>
    <w:p w14:paraId="244C351D" w14:textId="77777777" w:rsidR="00C149BF" w:rsidRDefault="00C149BF" w:rsidP="00E94C4C">
      <w:pPr>
        <w:widowControl w:val="0"/>
        <w:autoSpaceDE w:val="0"/>
        <w:autoSpaceDN w:val="0"/>
        <w:adjustRightInd w:val="0"/>
        <w:ind w:left="426" w:hanging="426"/>
        <w:jc w:val="center"/>
        <w:rPr>
          <w:b/>
          <w:bCs/>
          <w:color w:val="000000"/>
          <w:lang w:bidi="ar"/>
        </w:rPr>
      </w:pPr>
    </w:p>
    <w:p w14:paraId="557A7E20" w14:textId="77777777" w:rsidR="00C149BF" w:rsidRPr="00C149BF" w:rsidRDefault="00C149BF" w:rsidP="00E94C4C">
      <w:pPr>
        <w:widowControl w:val="0"/>
        <w:autoSpaceDE w:val="0"/>
        <w:autoSpaceDN w:val="0"/>
        <w:adjustRightInd w:val="0"/>
        <w:ind w:left="426" w:hanging="426"/>
        <w:jc w:val="center"/>
        <w:rPr>
          <w:b/>
          <w:bCs/>
          <w:color w:val="000000"/>
          <w:lang w:bidi="ar"/>
        </w:rPr>
      </w:pPr>
    </w:p>
    <w:p w14:paraId="509F9C3D" w14:textId="1AB6C427" w:rsidR="00AB50AC" w:rsidRPr="00C149BF" w:rsidRDefault="00C149BF" w:rsidP="00C149BF">
      <w:pPr>
        <w:widowControl w:val="0"/>
        <w:autoSpaceDE w:val="0"/>
        <w:autoSpaceDN w:val="0"/>
        <w:bidi/>
        <w:adjustRightInd w:val="0"/>
        <w:ind w:left="426" w:hanging="426"/>
        <w:rPr>
          <w:rFonts w:asciiTheme="majorBidi" w:hAnsiTheme="majorBidi" w:cstheme="majorBidi"/>
          <w:b/>
          <w:bCs/>
          <w:color w:val="000000"/>
          <w:sz w:val="28"/>
          <w:szCs w:val="28"/>
          <w:lang w:bidi="ar-IQ"/>
        </w:rPr>
      </w:pPr>
      <w:r w:rsidRPr="00C149BF">
        <w:rPr>
          <w:rFonts w:asciiTheme="majorBidi" w:hAnsiTheme="majorBidi" w:cstheme="majorBidi"/>
          <w:b/>
          <w:bCs/>
          <w:color w:val="000000"/>
          <w:sz w:val="28"/>
          <w:szCs w:val="28"/>
          <w:rtl/>
          <w:lang w:bidi="ar-IQ"/>
        </w:rPr>
        <w:t>الـخـلاصـة</w:t>
      </w:r>
    </w:p>
    <w:p w14:paraId="6D745E22" w14:textId="77777777" w:rsidR="00C149BF" w:rsidRPr="00E94C4C" w:rsidRDefault="00C149BF" w:rsidP="00AB50AC">
      <w:pPr>
        <w:widowControl w:val="0"/>
        <w:autoSpaceDE w:val="0"/>
        <w:autoSpaceDN w:val="0"/>
        <w:adjustRightInd w:val="0"/>
        <w:ind w:left="426" w:hanging="426"/>
        <w:jc w:val="right"/>
        <w:rPr>
          <w:b/>
          <w:bCs/>
          <w:color w:val="000000"/>
          <w:sz w:val="32"/>
          <w:szCs w:val="32"/>
          <w:lang w:bidi="ar-IQ"/>
        </w:rPr>
      </w:pPr>
    </w:p>
    <w:p w14:paraId="511CF4F8" w14:textId="77777777" w:rsidR="00EA66FF" w:rsidRDefault="00AB50AC" w:rsidP="00D825EF">
      <w:pPr>
        <w:bidi/>
        <w:spacing w:line="480" w:lineRule="auto"/>
        <w:ind w:firstLine="426"/>
        <w:jc w:val="both"/>
        <w:rPr>
          <w:rFonts w:asciiTheme="majorBidi" w:hAnsiTheme="majorBidi" w:cstheme="majorBidi"/>
          <w:sz w:val="24"/>
          <w:szCs w:val="24"/>
          <w:lang w:bidi="ar"/>
        </w:rPr>
      </w:pPr>
      <w:r w:rsidRPr="00C149BF">
        <w:rPr>
          <w:rFonts w:asciiTheme="majorBidi" w:hAnsiTheme="majorBidi" w:cstheme="majorBidi"/>
          <w:sz w:val="24"/>
          <w:szCs w:val="24"/>
          <w:rtl/>
          <w:lang w:bidi="ar"/>
        </w:rPr>
        <w:t xml:space="preserve">سعت هذه الدراسة المقطعية إلى تحديد العلاقة بين المتغيرات الديموغرافية ووجود أورام الثدي (الأورام التي تم اكتشافها بواسطة التصوير الشعاعي للثدي). شملت هذه الدراسة </w:t>
      </w:r>
      <w:r w:rsidR="00D825EF">
        <w:rPr>
          <w:rFonts w:asciiTheme="majorBidi" w:hAnsiTheme="majorBidi" w:cstheme="majorBidi"/>
          <w:sz w:val="24"/>
          <w:szCs w:val="24"/>
          <w:lang w:bidi="ar"/>
        </w:rPr>
        <w:t>100</w:t>
      </w:r>
      <w:r w:rsidRPr="00C149BF">
        <w:rPr>
          <w:rFonts w:asciiTheme="majorBidi" w:hAnsiTheme="majorBidi" w:cstheme="majorBidi"/>
          <w:sz w:val="24"/>
          <w:szCs w:val="24"/>
          <w:rtl/>
          <w:lang w:bidi="ar"/>
        </w:rPr>
        <w:t xml:space="preserve"> مريضة </w:t>
      </w:r>
      <w:r w:rsidR="00E22A07" w:rsidRPr="00C149BF">
        <w:rPr>
          <w:rFonts w:asciiTheme="majorBidi" w:hAnsiTheme="majorBidi" w:cstheme="majorBidi"/>
          <w:sz w:val="24"/>
          <w:szCs w:val="24"/>
          <w:rtl/>
          <w:lang w:bidi="ar"/>
        </w:rPr>
        <w:t>تمت احالتهم</w:t>
      </w:r>
      <w:r w:rsidRPr="00C149BF">
        <w:rPr>
          <w:rFonts w:asciiTheme="majorBidi" w:hAnsiTheme="majorBidi" w:cstheme="majorBidi"/>
          <w:sz w:val="24"/>
          <w:szCs w:val="24"/>
          <w:rtl/>
          <w:lang w:bidi="ar"/>
        </w:rPr>
        <w:t xml:space="preserve"> إلى الفحص الشعاعي للثدي في </w:t>
      </w:r>
      <w:r w:rsidR="00E22A07" w:rsidRPr="00C149BF">
        <w:rPr>
          <w:rFonts w:asciiTheme="majorBidi" w:hAnsiTheme="majorBidi" w:cstheme="majorBidi"/>
          <w:sz w:val="24"/>
          <w:szCs w:val="24"/>
          <w:rtl/>
          <w:lang w:bidi="ar"/>
        </w:rPr>
        <w:t>دائرة</w:t>
      </w:r>
      <w:r w:rsidRPr="00C149BF">
        <w:rPr>
          <w:rFonts w:asciiTheme="majorBidi" w:hAnsiTheme="majorBidi" w:cstheme="majorBidi"/>
          <w:sz w:val="24"/>
          <w:szCs w:val="24"/>
          <w:rtl/>
          <w:lang w:bidi="ar"/>
        </w:rPr>
        <w:t xml:space="preserve"> </w:t>
      </w:r>
      <w:r w:rsidR="00E22A07" w:rsidRPr="00C149BF">
        <w:rPr>
          <w:rFonts w:asciiTheme="majorBidi" w:hAnsiTheme="majorBidi" w:cstheme="majorBidi"/>
          <w:sz w:val="24"/>
          <w:szCs w:val="24"/>
          <w:rtl/>
          <w:lang w:bidi="ar"/>
        </w:rPr>
        <w:t>مدينة الطب</w:t>
      </w:r>
      <w:r w:rsidR="004A35DA" w:rsidRPr="00C149BF">
        <w:rPr>
          <w:rFonts w:asciiTheme="majorBidi" w:hAnsiTheme="majorBidi" w:cstheme="majorBidi"/>
          <w:sz w:val="24"/>
          <w:szCs w:val="24"/>
          <w:rtl/>
          <w:lang w:bidi="ar"/>
        </w:rPr>
        <w:t xml:space="preserve"> /</w:t>
      </w:r>
      <w:r w:rsidRPr="00C149BF">
        <w:rPr>
          <w:rFonts w:asciiTheme="majorBidi" w:hAnsiTheme="majorBidi" w:cstheme="majorBidi"/>
          <w:sz w:val="24"/>
          <w:szCs w:val="24"/>
          <w:rtl/>
          <w:lang w:bidi="ar"/>
        </w:rPr>
        <w:t xml:space="preserve"> بغداد (مستشفى الأورام التعليمي) خلال فترة ستة أشهر من سبتمبر </w:t>
      </w:r>
      <w:r w:rsidR="00D825EF">
        <w:rPr>
          <w:rFonts w:asciiTheme="majorBidi" w:hAnsiTheme="majorBidi" w:cstheme="majorBidi"/>
          <w:sz w:val="24"/>
          <w:szCs w:val="24"/>
          <w:lang w:bidi="ar"/>
        </w:rPr>
        <w:t>2024</w:t>
      </w:r>
      <w:r w:rsidRPr="00C149BF">
        <w:rPr>
          <w:rFonts w:asciiTheme="majorBidi" w:hAnsiTheme="majorBidi" w:cstheme="majorBidi"/>
          <w:sz w:val="24"/>
          <w:szCs w:val="24"/>
          <w:rtl/>
          <w:lang w:bidi="ar"/>
        </w:rPr>
        <w:t xml:space="preserve"> إلى فبراير </w:t>
      </w:r>
      <w:r w:rsidR="00D825EF">
        <w:rPr>
          <w:rFonts w:asciiTheme="majorBidi" w:hAnsiTheme="majorBidi" w:cstheme="majorBidi"/>
          <w:sz w:val="24"/>
          <w:szCs w:val="24"/>
          <w:lang w:bidi="ar"/>
        </w:rPr>
        <w:t>2025</w:t>
      </w:r>
      <w:r w:rsidRPr="00C149BF">
        <w:rPr>
          <w:rFonts w:asciiTheme="majorBidi" w:hAnsiTheme="majorBidi" w:cstheme="majorBidi"/>
          <w:sz w:val="24"/>
          <w:szCs w:val="24"/>
          <w:rtl/>
          <w:lang w:bidi="ar"/>
        </w:rPr>
        <w:t xml:space="preserve">. تم جمع البيانات الديموغرافية والسريرية، </w:t>
      </w:r>
      <w:r w:rsidR="009B6459" w:rsidRPr="00C149BF">
        <w:rPr>
          <w:rFonts w:asciiTheme="majorBidi" w:hAnsiTheme="majorBidi" w:cstheme="majorBidi"/>
          <w:sz w:val="24"/>
          <w:szCs w:val="24"/>
          <w:rtl/>
          <w:lang w:bidi="ar"/>
        </w:rPr>
        <w:t>حيث شملت</w:t>
      </w:r>
      <w:r w:rsidRPr="00C149BF">
        <w:rPr>
          <w:rFonts w:asciiTheme="majorBidi" w:hAnsiTheme="majorBidi" w:cstheme="majorBidi"/>
          <w:sz w:val="24"/>
          <w:szCs w:val="24"/>
          <w:rtl/>
          <w:lang w:bidi="ar"/>
        </w:rPr>
        <w:t xml:space="preserve"> العلاج الهرموني والعمر ومؤشر كتلة الجسم وتاريخ العائلة مع المرض. </w:t>
      </w:r>
    </w:p>
    <w:p w14:paraId="04798FD4" w14:textId="77777777" w:rsidR="00EA66FF" w:rsidRPr="00EA66FF" w:rsidRDefault="00EA66FF" w:rsidP="00EA66FF">
      <w:pPr>
        <w:bidi/>
        <w:ind w:firstLine="426"/>
        <w:jc w:val="both"/>
        <w:rPr>
          <w:rFonts w:asciiTheme="majorBidi" w:hAnsiTheme="majorBidi" w:cstheme="majorBidi"/>
          <w:lang w:bidi="ar"/>
        </w:rPr>
      </w:pPr>
    </w:p>
    <w:p w14:paraId="35491346" w14:textId="77777777" w:rsidR="00EA66FF" w:rsidRDefault="00AB50AC" w:rsidP="00EA66FF">
      <w:pPr>
        <w:bidi/>
        <w:spacing w:line="480" w:lineRule="auto"/>
        <w:ind w:firstLine="426"/>
        <w:jc w:val="both"/>
        <w:rPr>
          <w:rFonts w:asciiTheme="majorBidi" w:hAnsiTheme="majorBidi" w:cstheme="majorBidi"/>
          <w:sz w:val="24"/>
          <w:szCs w:val="24"/>
          <w:lang w:bidi="ar"/>
        </w:rPr>
      </w:pPr>
      <w:r w:rsidRPr="00C149BF">
        <w:rPr>
          <w:rFonts w:asciiTheme="majorBidi" w:hAnsiTheme="majorBidi" w:cstheme="majorBidi"/>
          <w:sz w:val="24"/>
          <w:szCs w:val="24"/>
          <w:rtl/>
          <w:lang w:bidi="ar"/>
        </w:rPr>
        <w:t xml:space="preserve">تم فحص تقييمات التصوير الشعاعي للثدي من قبل أطباء اشعة </w:t>
      </w:r>
      <w:r w:rsidR="00B26A0D" w:rsidRPr="00C149BF">
        <w:rPr>
          <w:rFonts w:asciiTheme="majorBidi" w:hAnsiTheme="majorBidi" w:cstheme="majorBidi"/>
          <w:sz w:val="24"/>
          <w:szCs w:val="24"/>
          <w:rtl/>
          <w:lang w:bidi="ar"/>
        </w:rPr>
        <w:t>معتمدين</w:t>
      </w:r>
      <w:r w:rsidRPr="00C149BF">
        <w:rPr>
          <w:rFonts w:asciiTheme="majorBidi" w:hAnsiTheme="majorBidi" w:cstheme="majorBidi"/>
          <w:sz w:val="24"/>
          <w:szCs w:val="24"/>
          <w:rtl/>
          <w:lang w:bidi="ar"/>
        </w:rPr>
        <w:t>. أجريت تحليلات متعددة المتغيرات للتأكد مما إذا كانت أي من الارتباطات المذكورة أعلاه ذات دلالة إحصائية</w:t>
      </w:r>
      <w:r w:rsidR="00AD1F5B">
        <w:rPr>
          <w:rFonts w:asciiTheme="majorBidi" w:hAnsiTheme="majorBidi" w:cstheme="majorBidi" w:hint="cs"/>
          <w:sz w:val="24"/>
          <w:szCs w:val="24"/>
          <w:rtl/>
          <w:lang w:bidi="ar"/>
        </w:rPr>
        <w:t xml:space="preserve"> </w:t>
      </w:r>
      <w:r w:rsidR="00087546" w:rsidRPr="00C149BF">
        <w:rPr>
          <w:rFonts w:asciiTheme="majorBidi" w:hAnsiTheme="majorBidi" w:cstheme="majorBidi"/>
          <w:sz w:val="24"/>
          <w:szCs w:val="24"/>
          <w:rtl/>
          <w:lang w:bidi="ar-IQ"/>
        </w:rPr>
        <w:t>(</w:t>
      </w:r>
      <w:r w:rsidRPr="00C149BF">
        <w:rPr>
          <w:rFonts w:asciiTheme="majorBidi" w:hAnsiTheme="majorBidi" w:cstheme="majorBidi"/>
          <w:sz w:val="24"/>
          <w:szCs w:val="24"/>
          <w:rtl/>
          <w:lang w:bidi="ar"/>
        </w:rPr>
        <w:t>قيمة</w:t>
      </w:r>
      <w:r w:rsidRPr="00C149BF">
        <w:rPr>
          <w:rFonts w:asciiTheme="majorBidi" w:hAnsiTheme="majorBidi" w:cstheme="majorBidi"/>
          <w:sz w:val="24"/>
          <w:szCs w:val="24"/>
          <w:lang w:bidi="ar"/>
        </w:rPr>
        <w:t xml:space="preserve"> </w:t>
      </w:r>
      <w:r w:rsidR="00087546" w:rsidRPr="00C149BF">
        <w:rPr>
          <w:rFonts w:asciiTheme="majorBidi" w:hAnsiTheme="majorBidi" w:cstheme="majorBidi"/>
          <w:sz w:val="24"/>
          <w:szCs w:val="24"/>
          <w:lang w:bidi="ar"/>
        </w:rPr>
        <w:t>(</w:t>
      </w:r>
      <w:r w:rsidRPr="00C149BF">
        <w:rPr>
          <w:rFonts w:asciiTheme="majorBidi" w:hAnsiTheme="majorBidi" w:cstheme="majorBidi"/>
          <w:sz w:val="24"/>
          <w:szCs w:val="24"/>
          <w:lang w:bidi="ar"/>
        </w:rPr>
        <w:t>p</w:t>
      </w:r>
      <w:r w:rsidR="000C4F3F" w:rsidRPr="00C149BF">
        <w:rPr>
          <w:rFonts w:asciiTheme="majorBidi" w:hAnsiTheme="majorBidi" w:cstheme="majorBidi"/>
          <w:sz w:val="24"/>
          <w:szCs w:val="24"/>
          <w:lang w:bidi="ar"/>
        </w:rPr>
        <w:t xml:space="preserve"> </w:t>
      </w:r>
      <w:r w:rsidRPr="00C149BF">
        <w:rPr>
          <w:rFonts w:asciiTheme="majorBidi" w:hAnsiTheme="majorBidi" w:cstheme="majorBidi"/>
          <w:sz w:val="24"/>
          <w:szCs w:val="24"/>
          <w:lang w:bidi="ar"/>
        </w:rPr>
        <w:t xml:space="preserve">&lt;0.05 </w:t>
      </w:r>
      <w:r w:rsidR="004A4083" w:rsidRPr="00C149BF">
        <w:rPr>
          <w:rFonts w:asciiTheme="majorBidi" w:hAnsiTheme="majorBidi" w:cstheme="majorBidi"/>
          <w:sz w:val="24"/>
          <w:szCs w:val="24"/>
          <w:rtl/>
          <w:lang w:bidi="ar-IQ"/>
        </w:rPr>
        <w:t xml:space="preserve"> </w:t>
      </w:r>
      <w:r w:rsidRPr="00C149BF">
        <w:rPr>
          <w:rFonts w:asciiTheme="majorBidi" w:hAnsiTheme="majorBidi" w:cstheme="majorBidi"/>
          <w:sz w:val="24"/>
          <w:szCs w:val="24"/>
          <w:rtl/>
          <w:lang w:bidi="ar"/>
        </w:rPr>
        <w:t xml:space="preserve">بين عوامل الخطر والورم. </w:t>
      </w:r>
      <w:r w:rsidR="000C5D26" w:rsidRPr="00C149BF">
        <w:rPr>
          <w:rFonts w:asciiTheme="majorBidi" w:hAnsiTheme="majorBidi" w:cstheme="majorBidi"/>
          <w:sz w:val="24"/>
          <w:szCs w:val="24"/>
          <w:rtl/>
          <w:lang w:bidi="ar-IQ"/>
        </w:rPr>
        <w:t xml:space="preserve">حيث </w:t>
      </w:r>
      <w:r w:rsidRPr="00C149BF">
        <w:rPr>
          <w:rFonts w:asciiTheme="majorBidi" w:hAnsiTheme="majorBidi" w:cstheme="majorBidi"/>
          <w:sz w:val="24"/>
          <w:szCs w:val="24"/>
          <w:rtl/>
          <w:lang w:bidi="ar"/>
        </w:rPr>
        <w:t xml:space="preserve">كانت هناك علاقة مهمة مع العمر (المرضى الأكبر سنًا) والتاريخ العائلي الإيجابي </w:t>
      </w:r>
      <w:r w:rsidR="008D02E3" w:rsidRPr="00C149BF">
        <w:rPr>
          <w:rFonts w:asciiTheme="majorBidi" w:hAnsiTheme="majorBidi" w:cstheme="majorBidi"/>
          <w:sz w:val="24"/>
          <w:szCs w:val="24"/>
          <w:rtl/>
          <w:lang w:bidi="ar"/>
        </w:rPr>
        <w:t xml:space="preserve">مع نسبة الاصابة بالمرض </w:t>
      </w:r>
      <w:r w:rsidR="009611E6" w:rsidRPr="00C149BF">
        <w:rPr>
          <w:rFonts w:asciiTheme="majorBidi" w:hAnsiTheme="majorBidi" w:cstheme="majorBidi"/>
          <w:sz w:val="24"/>
          <w:szCs w:val="24"/>
          <w:rtl/>
          <w:lang w:bidi="ar"/>
        </w:rPr>
        <w:t xml:space="preserve">اي هنالك </w:t>
      </w:r>
      <w:r w:rsidRPr="00C149BF">
        <w:rPr>
          <w:rFonts w:asciiTheme="majorBidi" w:hAnsiTheme="majorBidi" w:cstheme="majorBidi"/>
          <w:sz w:val="24"/>
          <w:szCs w:val="24"/>
          <w:rtl/>
          <w:lang w:bidi="ar"/>
        </w:rPr>
        <w:t>زيادة</w:t>
      </w:r>
      <w:r w:rsidR="009611E6" w:rsidRPr="00C149BF">
        <w:rPr>
          <w:rFonts w:asciiTheme="majorBidi" w:hAnsiTheme="majorBidi" w:cstheme="majorBidi"/>
          <w:sz w:val="24"/>
          <w:szCs w:val="24"/>
          <w:rtl/>
          <w:lang w:bidi="ar"/>
        </w:rPr>
        <w:t xml:space="preserve"> نسبة</w:t>
      </w:r>
      <w:r w:rsidRPr="00C149BF">
        <w:rPr>
          <w:rFonts w:asciiTheme="majorBidi" w:hAnsiTheme="majorBidi" w:cstheme="majorBidi"/>
          <w:sz w:val="24"/>
          <w:szCs w:val="24"/>
          <w:rtl/>
          <w:lang w:bidi="ar"/>
        </w:rPr>
        <w:t xml:space="preserve"> الخطر </w:t>
      </w:r>
      <w:r w:rsidR="00E54FDC" w:rsidRPr="00C149BF">
        <w:rPr>
          <w:rFonts w:asciiTheme="majorBidi" w:hAnsiTheme="majorBidi" w:cstheme="majorBidi"/>
          <w:sz w:val="24"/>
          <w:szCs w:val="24"/>
          <w:rtl/>
          <w:lang w:bidi="ar"/>
        </w:rPr>
        <w:t>وبالتالي احتمالية ظهور اصابات خب</w:t>
      </w:r>
      <w:r w:rsidR="00DA7557" w:rsidRPr="00C149BF">
        <w:rPr>
          <w:rFonts w:asciiTheme="majorBidi" w:hAnsiTheme="majorBidi" w:cstheme="majorBidi"/>
          <w:sz w:val="24"/>
          <w:szCs w:val="24"/>
          <w:rtl/>
          <w:lang w:bidi="ar"/>
        </w:rPr>
        <w:t>يثة</w:t>
      </w:r>
      <w:r w:rsidRPr="00C149BF">
        <w:rPr>
          <w:rFonts w:asciiTheme="majorBidi" w:hAnsiTheme="majorBidi" w:cstheme="majorBidi"/>
          <w:sz w:val="24"/>
          <w:szCs w:val="24"/>
          <w:rtl/>
          <w:lang w:bidi="ar"/>
        </w:rPr>
        <w:t xml:space="preserve"> في التصوير الشعاعي للثدي (على سبيل المثال، </w:t>
      </w:r>
      <w:r w:rsidR="00B327B3" w:rsidRPr="00C149BF">
        <w:rPr>
          <w:rFonts w:asciiTheme="majorBidi" w:hAnsiTheme="majorBidi" w:cstheme="majorBidi"/>
          <w:sz w:val="24"/>
          <w:szCs w:val="24"/>
          <w:rtl/>
          <w:lang w:bidi="ar"/>
        </w:rPr>
        <w:t>تكلسات الثدي</w:t>
      </w:r>
      <w:r w:rsidRPr="00C149BF">
        <w:rPr>
          <w:rFonts w:asciiTheme="majorBidi" w:hAnsiTheme="majorBidi" w:cstheme="majorBidi"/>
          <w:sz w:val="24"/>
          <w:szCs w:val="24"/>
          <w:rtl/>
          <w:lang w:bidi="ar"/>
        </w:rPr>
        <w:t xml:space="preserve">). </w:t>
      </w:r>
    </w:p>
    <w:p w14:paraId="5BA41F9F" w14:textId="77777777" w:rsidR="00EA66FF" w:rsidRPr="00EA66FF" w:rsidRDefault="00EA66FF" w:rsidP="00EA66FF">
      <w:pPr>
        <w:bidi/>
        <w:jc w:val="both"/>
        <w:rPr>
          <w:rFonts w:asciiTheme="majorBidi" w:hAnsiTheme="majorBidi" w:cstheme="majorBidi"/>
          <w:lang w:bidi="ar"/>
        </w:rPr>
      </w:pPr>
    </w:p>
    <w:p w14:paraId="1A25B837" w14:textId="77777777" w:rsidR="00EA66FF" w:rsidRDefault="00126F41" w:rsidP="00EA66FF">
      <w:pPr>
        <w:bidi/>
        <w:spacing w:line="480" w:lineRule="auto"/>
        <w:ind w:firstLine="426"/>
        <w:jc w:val="both"/>
        <w:rPr>
          <w:rFonts w:asciiTheme="majorBidi" w:hAnsiTheme="majorBidi" w:cstheme="majorBidi"/>
          <w:sz w:val="24"/>
          <w:szCs w:val="24"/>
          <w:lang w:bidi="ar"/>
        </w:rPr>
      </w:pPr>
      <w:r w:rsidRPr="00C149BF">
        <w:rPr>
          <w:rFonts w:asciiTheme="majorBidi" w:hAnsiTheme="majorBidi" w:cstheme="majorBidi"/>
          <w:sz w:val="24"/>
          <w:szCs w:val="24"/>
          <w:rtl/>
          <w:lang w:bidi="ar"/>
        </w:rPr>
        <w:t xml:space="preserve">في تحليل اخر شمل مقارنة بين </w:t>
      </w:r>
      <w:r w:rsidR="00AB50AC" w:rsidRPr="00C149BF">
        <w:rPr>
          <w:rFonts w:asciiTheme="majorBidi" w:hAnsiTheme="majorBidi" w:cstheme="majorBidi"/>
          <w:sz w:val="24"/>
          <w:szCs w:val="24"/>
          <w:rtl/>
          <w:lang w:bidi="ar"/>
        </w:rPr>
        <w:t xml:space="preserve">عدد </w:t>
      </w:r>
      <w:r w:rsidRPr="00C149BF">
        <w:rPr>
          <w:rFonts w:asciiTheme="majorBidi" w:hAnsiTheme="majorBidi" w:cstheme="majorBidi"/>
          <w:sz w:val="24"/>
          <w:szCs w:val="24"/>
          <w:rtl/>
          <w:lang w:bidi="ar"/>
        </w:rPr>
        <w:t xml:space="preserve">من </w:t>
      </w:r>
      <w:r w:rsidR="00AB50AC" w:rsidRPr="00C149BF">
        <w:rPr>
          <w:rFonts w:asciiTheme="majorBidi" w:hAnsiTheme="majorBidi" w:cstheme="majorBidi"/>
          <w:sz w:val="24"/>
          <w:szCs w:val="24"/>
          <w:rtl/>
          <w:lang w:bidi="ar"/>
        </w:rPr>
        <w:t xml:space="preserve">المتغيرات، اتجه مؤشر كتلة الجسم والعلاج الهرموني </w:t>
      </w:r>
      <w:r w:rsidR="00486B60" w:rsidRPr="00C149BF">
        <w:rPr>
          <w:rFonts w:asciiTheme="majorBidi" w:hAnsiTheme="majorBidi" w:cstheme="majorBidi"/>
          <w:sz w:val="24"/>
          <w:szCs w:val="24"/>
          <w:rtl/>
          <w:lang w:bidi="ar"/>
        </w:rPr>
        <w:t>نحو الدلالة</w:t>
      </w:r>
      <w:r w:rsidR="00920164" w:rsidRPr="00C149BF">
        <w:rPr>
          <w:rFonts w:asciiTheme="majorBidi" w:hAnsiTheme="majorBidi" w:cstheme="majorBidi"/>
          <w:sz w:val="24"/>
          <w:szCs w:val="24"/>
          <w:rtl/>
          <w:lang w:bidi="ar"/>
        </w:rPr>
        <w:t xml:space="preserve"> الاحصائية</w:t>
      </w:r>
      <w:r w:rsidR="00AB50AC" w:rsidRPr="00C149BF">
        <w:rPr>
          <w:rFonts w:asciiTheme="majorBidi" w:hAnsiTheme="majorBidi" w:cstheme="majorBidi"/>
          <w:sz w:val="24"/>
          <w:szCs w:val="24"/>
          <w:rtl/>
          <w:lang w:bidi="ar"/>
        </w:rPr>
        <w:t>، لكنهما لم يطابقا الحد الأدنى المطلوب</w:t>
      </w:r>
      <w:r w:rsidR="00764530" w:rsidRPr="00C149BF">
        <w:rPr>
          <w:rFonts w:asciiTheme="majorBidi" w:hAnsiTheme="majorBidi" w:cstheme="majorBidi"/>
          <w:sz w:val="24"/>
          <w:szCs w:val="24"/>
          <w:rtl/>
          <w:lang w:bidi="ar-IQ"/>
        </w:rPr>
        <w:t xml:space="preserve"> اي بمعنى لاتوجد دلالة احصائية بين المتغييرين اعلاه</w:t>
      </w:r>
      <w:r w:rsidR="00AB50AC" w:rsidRPr="00C149BF">
        <w:rPr>
          <w:rFonts w:asciiTheme="majorBidi" w:hAnsiTheme="majorBidi" w:cstheme="majorBidi"/>
          <w:sz w:val="24"/>
          <w:szCs w:val="24"/>
          <w:rtl/>
          <w:lang w:bidi="ar"/>
        </w:rPr>
        <w:t xml:space="preserve">. </w:t>
      </w:r>
    </w:p>
    <w:p w14:paraId="384E2426" w14:textId="77777777" w:rsidR="00EA66FF" w:rsidRPr="00EA66FF" w:rsidRDefault="00EA66FF" w:rsidP="00EA66FF">
      <w:pPr>
        <w:bidi/>
        <w:jc w:val="both"/>
        <w:rPr>
          <w:rFonts w:asciiTheme="majorBidi" w:hAnsiTheme="majorBidi" w:cstheme="majorBidi"/>
          <w:lang w:bidi="ar"/>
        </w:rPr>
      </w:pPr>
    </w:p>
    <w:p w14:paraId="7A0406E5" w14:textId="3418D91E" w:rsidR="00AD4D32" w:rsidRPr="00C149BF" w:rsidRDefault="000C4F3F" w:rsidP="00EA66FF">
      <w:pPr>
        <w:bidi/>
        <w:spacing w:line="480" w:lineRule="auto"/>
        <w:ind w:firstLine="426"/>
        <w:jc w:val="both"/>
        <w:rPr>
          <w:rFonts w:asciiTheme="majorBidi" w:hAnsiTheme="majorBidi" w:cstheme="majorBidi"/>
          <w:sz w:val="24"/>
          <w:szCs w:val="24"/>
          <w:lang w:bidi="ar"/>
        </w:rPr>
      </w:pPr>
      <w:r w:rsidRPr="00C149BF">
        <w:rPr>
          <w:rFonts w:asciiTheme="majorBidi" w:hAnsiTheme="majorBidi" w:cstheme="majorBidi"/>
          <w:sz w:val="24"/>
          <w:szCs w:val="24"/>
          <w:rtl/>
          <w:lang w:bidi="ar-IQ"/>
        </w:rPr>
        <w:t>حددت</w:t>
      </w:r>
      <w:r w:rsidR="00AB50AC" w:rsidRPr="00C149BF">
        <w:rPr>
          <w:rFonts w:asciiTheme="majorBidi" w:hAnsiTheme="majorBidi" w:cstheme="majorBidi"/>
          <w:sz w:val="24"/>
          <w:szCs w:val="24"/>
          <w:rtl/>
          <w:lang w:bidi="ar"/>
        </w:rPr>
        <w:t xml:space="preserve"> هذه الدراسة مؤشرات ديموغرافية وتصوير الثدي بالأشعة السينية لأورام الثدي. </w:t>
      </w:r>
      <w:r w:rsidR="00C05ED9" w:rsidRPr="00C149BF">
        <w:rPr>
          <w:rFonts w:asciiTheme="majorBidi" w:hAnsiTheme="majorBidi" w:cstheme="majorBidi"/>
          <w:sz w:val="24"/>
          <w:szCs w:val="24"/>
          <w:rtl/>
          <w:lang w:bidi="ar"/>
        </w:rPr>
        <w:t>تبرر هذه النتائج</w:t>
      </w:r>
      <w:r w:rsidR="00953280" w:rsidRPr="00C149BF">
        <w:rPr>
          <w:rFonts w:asciiTheme="majorBidi" w:hAnsiTheme="majorBidi" w:cstheme="majorBidi"/>
          <w:sz w:val="24"/>
          <w:szCs w:val="24"/>
          <w:rtl/>
          <w:lang w:bidi="ar"/>
        </w:rPr>
        <w:t xml:space="preserve"> بضرورة</w:t>
      </w:r>
      <w:r w:rsidR="00C05ED9" w:rsidRPr="00C149BF">
        <w:rPr>
          <w:rFonts w:asciiTheme="majorBidi" w:hAnsiTheme="majorBidi" w:cstheme="majorBidi"/>
          <w:sz w:val="24"/>
          <w:szCs w:val="24"/>
          <w:rtl/>
          <w:lang w:bidi="ar"/>
        </w:rPr>
        <w:t xml:space="preserve"> إجراء المزيد من</w:t>
      </w:r>
      <w:r w:rsidR="00953280" w:rsidRPr="00C149BF">
        <w:rPr>
          <w:rFonts w:asciiTheme="majorBidi" w:hAnsiTheme="majorBidi" w:cstheme="majorBidi"/>
          <w:sz w:val="24"/>
          <w:szCs w:val="24"/>
          <w:rtl/>
          <w:lang w:bidi="ar"/>
        </w:rPr>
        <w:t xml:space="preserve"> الابحاث</w:t>
      </w:r>
      <w:r w:rsidR="00C05ED9" w:rsidRPr="00C149BF">
        <w:rPr>
          <w:rFonts w:asciiTheme="majorBidi" w:hAnsiTheme="majorBidi" w:cstheme="majorBidi"/>
          <w:sz w:val="24"/>
          <w:szCs w:val="24"/>
          <w:rtl/>
          <w:lang w:bidi="ar"/>
        </w:rPr>
        <w:t xml:space="preserve"> وتوفير</w:t>
      </w:r>
      <w:r w:rsidR="00AB50AC" w:rsidRPr="00C149BF">
        <w:rPr>
          <w:rFonts w:asciiTheme="majorBidi" w:hAnsiTheme="majorBidi" w:cstheme="majorBidi"/>
          <w:sz w:val="24"/>
          <w:szCs w:val="24"/>
          <w:rtl/>
          <w:lang w:bidi="ar"/>
        </w:rPr>
        <w:t xml:space="preserve"> أدلة داعمة لتصنيف المخاطر على نطاق واسع، </w:t>
      </w:r>
      <w:r w:rsidR="00DA3F50" w:rsidRPr="00C149BF">
        <w:rPr>
          <w:rFonts w:asciiTheme="majorBidi" w:hAnsiTheme="majorBidi" w:cstheme="majorBidi"/>
          <w:sz w:val="24"/>
          <w:szCs w:val="24"/>
          <w:rtl/>
          <w:lang w:bidi="ar"/>
        </w:rPr>
        <w:t xml:space="preserve">لتمكين التشخيص المبكر للمرض وبالتالي تقليل خطر تدهور إصابات المريض وتقليل خطر الوفاة. </w:t>
      </w:r>
    </w:p>
    <w:sectPr w:rsidR="00AD4D32" w:rsidRPr="00C149BF" w:rsidSect="002407B6">
      <w:headerReference w:type="even" r:id="rId27"/>
      <w:headerReference w:type="default" r:id="rId28"/>
      <w:footerReference w:type="even" r:id="rId29"/>
      <w:footerReference w:type="default" r:id="rId30"/>
      <w:headerReference w:type="first" r:id="rId31"/>
      <w:footerReference w:type="first" r:id="rId32"/>
      <w:pgSz w:w="12240" w:h="15840"/>
      <w:pgMar w:top="1418" w:right="1134" w:bottom="1134" w:left="1418" w:header="720" w:footer="720" w:gutter="0"/>
      <w:pgNumType w:start="7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F3D79" w14:textId="77777777" w:rsidR="005034EE" w:rsidRDefault="005034EE" w:rsidP="00DE4378">
      <w:r>
        <w:separator/>
      </w:r>
    </w:p>
  </w:endnote>
  <w:endnote w:type="continuationSeparator" w:id="0">
    <w:p w14:paraId="177CD723" w14:textId="77777777" w:rsidR="005034EE" w:rsidRDefault="005034EE" w:rsidP="00DE4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9A6F0" w14:textId="77777777" w:rsidR="00526B34" w:rsidRDefault="00526B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824260"/>
      <w:docPartObj>
        <w:docPartGallery w:val="Page Numbers (Bottom of Page)"/>
        <w:docPartUnique/>
      </w:docPartObj>
    </w:sdtPr>
    <w:sdtEndPr>
      <w:rPr>
        <w:noProof/>
      </w:rPr>
    </w:sdtEndPr>
    <w:sdtContent>
      <w:p w14:paraId="76573C3A" w14:textId="40DD6E9B" w:rsidR="002407B6" w:rsidRDefault="002407B6">
        <w:pPr>
          <w:pStyle w:val="Footer"/>
          <w:jc w:val="center"/>
        </w:pPr>
        <w:r>
          <w:fldChar w:fldCharType="begin"/>
        </w:r>
        <w:r>
          <w:instrText xml:space="preserve"> PAGE   \* MERGEFORMAT </w:instrText>
        </w:r>
        <w:r>
          <w:fldChar w:fldCharType="separate"/>
        </w:r>
        <w:r w:rsidR="00A3392B">
          <w:rPr>
            <w:noProof/>
          </w:rPr>
          <w:t>81</w:t>
        </w:r>
        <w:r>
          <w:rPr>
            <w:noProof/>
          </w:rPr>
          <w:fldChar w:fldCharType="end"/>
        </w:r>
      </w:p>
    </w:sdtContent>
  </w:sdt>
  <w:p w14:paraId="340E133E" w14:textId="77777777" w:rsidR="00DE4378" w:rsidRDefault="00DE43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5766C" w14:textId="77777777" w:rsidR="00526B34" w:rsidRDefault="00526B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69507" w14:textId="77777777" w:rsidR="005034EE" w:rsidRDefault="005034EE" w:rsidP="00DE4378">
      <w:r>
        <w:separator/>
      </w:r>
    </w:p>
  </w:footnote>
  <w:footnote w:type="continuationSeparator" w:id="0">
    <w:p w14:paraId="7B0CEE36" w14:textId="77777777" w:rsidR="005034EE" w:rsidRDefault="005034EE" w:rsidP="00DE4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51038" w14:textId="3D30621E" w:rsidR="00526B34" w:rsidRDefault="00526B34">
    <w:pPr>
      <w:pStyle w:val="Header"/>
    </w:pPr>
    <w:r>
      <w:rPr>
        <w:noProof/>
      </w:rPr>
      <w:pict w14:anchorId="0430E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793876" o:spid="_x0000_s2050" type="#_x0000_t75" style="position:absolute;margin-left:0;margin-top:0;width:484.35pt;height:484.35pt;z-index:-251657216;mso-position-horizontal:center;mso-position-horizontal-relative:margin;mso-position-vertical:center;mso-position-vertical-relative:margin" o:allowincell="f">
          <v:imagedata r:id="rId1" o:title="Dijlah Logo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E2BE7" w14:textId="62986874" w:rsidR="00B11871" w:rsidRPr="00BC10F1" w:rsidRDefault="00526B34" w:rsidP="00B11871">
    <w:pPr>
      <w:tabs>
        <w:tab w:val="center" w:pos="4680"/>
        <w:tab w:val="right" w:pos="9360"/>
      </w:tabs>
      <w:rPr>
        <w:lang w:val="en-GB"/>
      </w:rPr>
    </w:pPr>
    <w:r>
      <w:rPr>
        <w:rFonts w:ascii="Bookman Old Style" w:hAnsi="Bookman Old Style"/>
        <w:b/>
        <w:iCs/>
        <w:noProof/>
        <w:color w:val="000000"/>
      </w:rPr>
      <w:pict w14:anchorId="0BEC1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793877" o:spid="_x0000_s2051" type="#_x0000_t75" style="position:absolute;margin-left:0;margin-top:0;width:484.35pt;height:484.35pt;z-index:-251656192;mso-position-horizontal:center;mso-position-horizontal-relative:margin;mso-position-vertical:center;mso-position-vertical-relative:margin" o:allowincell="f">
          <v:imagedata r:id="rId1" o:title="Dijlah Logo1" gain="19661f" blacklevel="22938f"/>
        </v:shape>
      </w:pict>
    </w:r>
    <w:r w:rsidR="00B11871" w:rsidRPr="00C72D22">
      <w:rPr>
        <w:rFonts w:ascii="Bookman Old Style" w:hAnsi="Bookman Old Style"/>
        <w:b/>
        <w:iCs/>
        <w:color w:val="000000"/>
        <w:lang w:val="en-GB" w:eastAsia="el-GR"/>
      </w:rPr>
      <w:t xml:space="preserve">Dijlah Journal of Medical Sciences (DJMS)                 </w:t>
    </w:r>
    <w:r w:rsidR="00B11871" w:rsidRPr="00C72D22">
      <w:rPr>
        <w:rFonts w:ascii="Bookman Old Style" w:hAnsi="Bookman Old Style"/>
        <w:b/>
        <w:iCs/>
        <w:color w:val="000000"/>
        <w:lang w:val="en-GB" w:eastAsia="el-GR"/>
      </w:rPr>
      <w:tab/>
      <w:t xml:space="preserve">       </w:t>
    </w:r>
    <w:r w:rsidR="00B11871" w:rsidRPr="00C72D22">
      <w:t>Vol. 2, No. 1, September, 2025, pp</w:t>
    </w:r>
    <w:r w:rsidR="002407B6">
      <w:t>. 72-81</w:t>
    </w:r>
  </w:p>
  <w:p w14:paraId="1DD5034C" w14:textId="2B1174B2" w:rsidR="00B11871" w:rsidRPr="00B11871" w:rsidRDefault="00B11871" w:rsidP="00B11871">
    <w:pPr>
      <w:tabs>
        <w:tab w:val="center" w:pos="4680"/>
        <w:tab w:val="right" w:pos="9360"/>
      </w:tabs>
      <w:rPr>
        <w:lang w:val="en-GB"/>
      </w:rPr>
    </w:pPr>
    <w:r w:rsidRPr="00B11871">
      <w:t>P-ISSN: 3078-3178,</w:t>
    </w:r>
    <w:r w:rsidR="00416F6C">
      <w:t xml:space="preserve"> E-ISSN: 3078-8625, paper ID: 09</w:t>
    </w:r>
  </w:p>
  <w:p w14:paraId="2715098F" w14:textId="78CAF990" w:rsidR="00DE4378" w:rsidRPr="00B11871" w:rsidRDefault="00DE4378" w:rsidP="00B11871">
    <w:pPr>
      <w:pStyle w:val="Header"/>
      <w:rPr>
        <w:lang w:val="en-GB"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B4685" w14:textId="6301F998" w:rsidR="00526B34" w:rsidRDefault="00526B34">
    <w:pPr>
      <w:pStyle w:val="Header"/>
    </w:pPr>
    <w:r>
      <w:rPr>
        <w:noProof/>
      </w:rPr>
      <w:pict w14:anchorId="5DD13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793875" o:spid="_x0000_s2049" type="#_x0000_t75" style="position:absolute;margin-left:0;margin-top:0;width:484.35pt;height:484.35pt;z-index:-251658240;mso-position-horizontal:center;mso-position-horizontal-relative:margin;mso-position-vertical:center;mso-position-vertical-relative:margin" o:allowincell="f">
          <v:imagedata r:id="rId1" o:title="Dijlah Logo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6506F"/>
    <w:multiLevelType w:val="multilevel"/>
    <w:tmpl w:val="EAEC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93067E"/>
    <w:multiLevelType w:val="hybridMultilevel"/>
    <w:tmpl w:val="21CAC598"/>
    <w:lvl w:ilvl="0" w:tplc="FA320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C03EE1"/>
    <w:multiLevelType w:val="multilevel"/>
    <w:tmpl w:val="08F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853ADF"/>
    <w:multiLevelType w:val="multilevel"/>
    <w:tmpl w:val="70A4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BD25E3"/>
    <w:multiLevelType w:val="multilevel"/>
    <w:tmpl w:val="5016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B9434A"/>
    <w:multiLevelType w:val="multilevel"/>
    <w:tmpl w:val="7132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0A3B17"/>
    <w:multiLevelType w:val="multilevel"/>
    <w:tmpl w:val="B130F80A"/>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71290E3B"/>
    <w:multiLevelType w:val="multilevel"/>
    <w:tmpl w:val="36C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0"/>
  </w:num>
  <w:num w:numId="5">
    <w:abstractNumId w:val="2"/>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78"/>
    <w:rsid w:val="0001229E"/>
    <w:rsid w:val="00015FD0"/>
    <w:rsid w:val="000168D0"/>
    <w:rsid w:val="000255AD"/>
    <w:rsid w:val="00045BAD"/>
    <w:rsid w:val="00071B9C"/>
    <w:rsid w:val="00086B13"/>
    <w:rsid w:val="00087546"/>
    <w:rsid w:val="000A1ED4"/>
    <w:rsid w:val="000B1873"/>
    <w:rsid w:val="000C3117"/>
    <w:rsid w:val="000C4F3F"/>
    <w:rsid w:val="000C5D26"/>
    <w:rsid w:val="000D2795"/>
    <w:rsid w:val="000E5F4B"/>
    <w:rsid w:val="000E7779"/>
    <w:rsid w:val="00105920"/>
    <w:rsid w:val="00105AD7"/>
    <w:rsid w:val="00122E43"/>
    <w:rsid w:val="00126209"/>
    <w:rsid w:val="00126F41"/>
    <w:rsid w:val="00132F3D"/>
    <w:rsid w:val="001416F1"/>
    <w:rsid w:val="00156E2B"/>
    <w:rsid w:val="00174D3F"/>
    <w:rsid w:val="001B17FB"/>
    <w:rsid w:val="001B3809"/>
    <w:rsid w:val="001E6CC1"/>
    <w:rsid w:val="00207C66"/>
    <w:rsid w:val="00211302"/>
    <w:rsid w:val="00234964"/>
    <w:rsid w:val="002407B6"/>
    <w:rsid w:val="00246AB2"/>
    <w:rsid w:val="00246BBE"/>
    <w:rsid w:val="00266C9D"/>
    <w:rsid w:val="002A15EC"/>
    <w:rsid w:val="002A21B0"/>
    <w:rsid w:val="002B21F4"/>
    <w:rsid w:val="002C6CF9"/>
    <w:rsid w:val="002D27FF"/>
    <w:rsid w:val="002D2AC7"/>
    <w:rsid w:val="002E22A2"/>
    <w:rsid w:val="002E25C8"/>
    <w:rsid w:val="002E627C"/>
    <w:rsid w:val="002E7094"/>
    <w:rsid w:val="00321A0B"/>
    <w:rsid w:val="003277B5"/>
    <w:rsid w:val="00344E9E"/>
    <w:rsid w:val="00345194"/>
    <w:rsid w:val="00392B84"/>
    <w:rsid w:val="00392ECF"/>
    <w:rsid w:val="003941C4"/>
    <w:rsid w:val="0039721C"/>
    <w:rsid w:val="003A248F"/>
    <w:rsid w:val="00407675"/>
    <w:rsid w:val="00407E6B"/>
    <w:rsid w:val="00416F6C"/>
    <w:rsid w:val="0043447D"/>
    <w:rsid w:val="00457986"/>
    <w:rsid w:val="00457F0A"/>
    <w:rsid w:val="00466DDA"/>
    <w:rsid w:val="004729A7"/>
    <w:rsid w:val="00486B60"/>
    <w:rsid w:val="004879A7"/>
    <w:rsid w:val="004A35DA"/>
    <w:rsid w:val="004A4083"/>
    <w:rsid w:val="004A5294"/>
    <w:rsid w:val="004B2054"/>
    <w:rsid w:val="004D7005"/>
    <w:rsid w:val="004F6B22"/>
    <w:rsid w:val="005034EE"/>
    <w:rsid w:val="00526B34"/>
    <w:rsid w:val="00551E4E"/>
    <w:rsid w:val="005616A0"/>
    <w:rsid w:val="00562B3C"/>
    <w:rsid w:val="00573E01"/>
    <w:rsid w:val="005750D4"/>
    <w:rsid w:val="00593302"/>
    <w:rsid w:val="00594CF8"/>
    <w:rsid w:val="005A52A9"/>
    <w:rsid w:val="005D6011"/>
    <w:rsid w:val="005F51E7"/>
    <w:rsid w:val="006458BE"/>
    <w:rsid w:val="00661273"/>
    <w:rsid w:val="00670F23"/>
    <w:rsid w:val="00673FFD"/>
    <w:rsid w:val="00691089"/>
    <w:rsid w:val="006A22A5"/>
    <w:rsid w:val="006B3AC8"/>
    <w:rsid w:val="006B62F1"/>
    <w:rsid w:val="006D722E"/>
    <w:rsid w:val="006E23E3"/>
    <w:rsid w:val="006F76CD"/>
    <w:rsid w:val="00707B63"/>
    <w:rsid w:val="00713094"/>
    <w:rsid w:val="00727A68"/>
    <w:rsid w:val="00764530"/>
    <w:rsid w:val="0077427A"/>
    <w:rsid w:val="007F1FEB"/>
    <w:rsid w:val="008152F3"/>
    <w:rsid w:val="008213D7"/>
    <w:rsid w:val="00826553"/>
    <w:rsid w:val="00840777"/>
    <w:rsid w:val="00842539"/>
    <w:rsid w:val="00860D9B"/>
    <w:rsid w:val="0089777F"/>
    <w:rsid w:val="008B1048"/>
    <w:rsid w:val="008D02E3"/>
    <w:rsid w:val="008D1924"/>
    <w:rsid w:val="008D2348"/>
    <w:rsid w:val="008D753D"/>
    <w:rsid w:val="008F19D8"/>
    <w:rsid w:val="0090560B"/>
    <w:rsid w:val="00920164"/>
    <w:rsid w:val="00953280"/>
    <w:rsid w:val="009611E6"/>
    <w:rsid w:val="009715EA"/>
    <w:rsid w:val="009A42DF"/>
    <w:rsid w:val="009B6459"/>
    <w:rsid w:val="009F1DA0"/>
    <w:rsid w:val="00A014A8"/>
    <w:rsid w:val="00A25129"/>
    <w:rsid w:val="00A3392B"/>
    <w:rsid w:val="00A6394C"/>
    <w:rsid w:val="00A77A7E"/>
    <w:rsid w:val="00AA3ACF"/>
    <w:rsid w:val="00AA55DE"/>
    <w:rsid w:val="00AB50AC"/>
    <w:rsid w:val="00AC1C58"/>
    <w:rsid w:val="00AD0D51"/>
    <w:rsid w:val="00AD1F5B"/>
    <w:rsid w:val="00AD4D32"/>
    <w:rsid w:val="00AE3924"/>
    <w:rsid w:val="00AF3E9B"/>
    <w:rsid w:val="00B11871"/>
    <w:rsid w:val="00B26A0D"/>
    <w:rsid w:val="00B327B3"/>
    <w:rsid w:val="00B46152"/>
    <w:rsid w:val="00B57917"/>
    <w:rsid w:val="00B75329"/>
    <w:rsid w:val="00B96313"/>
    <w:rsid w:val="00BA5FE0"/>
    <w:rsid w:val="00BE1D9B"/>
    <w:rsid w:val="00BF4C52"/>
    <w:rsid w:val="00BF6677"/>
    <w:rsid w:val="00C05AB7"/>
    <w:rsid w:val="00C05ED9"/>
    <w:rsid w:val="00C149BF"/>
    <w:rsid w:val="00C247B6"/>
    <w:rsid w:val="00C26D1C"/>
    <w:rsid w:val="00C26E9C"/>
    <w:rsid w:val="00C34FDA"/>
    <w:rsid w:val="00C552C7"/>
    <w:rsid w:val="00C9293E"/>
    <w:rsid w:val="00C96963"/>
    <w:rsid w:val="00CA03B7"/>
    <w:rsid w:val="00CA587B"/>
    <w:rsid w:val="00CD4699"/>
    <w:rsid w:val="00CE727A"/>
    <w:rsid w:val="00CF53AE"/>
    <w:rsid w:val="00D14354"/>
    <w:rsid w:val="00D473F0"/>
    <w:rsid w:val="00D517D4"/>
    <w:rsid w:val="00D51D3A"/>
    <w:rsid w:val="00D70F4C"/>
    <w:rsid w:val="00D825EF"/>
    <w:rsid w:val="00D83E25"/>
    <w:rsid w:val="00D90866"/>
    <w:rsid w:val="00D970CE"/>
    <w:rsid w:val="00D974AD"/>
    <w:rsid w:val="00DA0E76"/>
    <w:rsid w:val="00DA3F50"/>
    <w:rsid w:val="00DA7557"/>
    <w:rsid w:val="00DB792A"/>
    <w:rsid w:val="00DD6BDC"/>
    <w:rsid w:val="00DE4378"/>
    <w:rsid w:val="00DE69A5"/>
    <w:rsid w:val="00DE7FF8"/>
    <w:rsid w:val="00E22A07"/>
    <w:rsid w:val="00E350BB"/>
    <w:rsid w:val="00E5079A"/>
    <w:rsid w:val="00E54FDC"/>
    <w:rsid w:val="00E55239"/>
    <w:rsid w:val="00E65532"/>
    <w:rsid w:val="00E75058"/>
    <w:rsid w:val="00E94C4C"/>
    <w:rsid w:val="00E95C93"/>
    <w:rsid w:val="00E966C3"/>
    <w:rsid w:val="00EA10B7"/>
    <w:rsid w:val="00EA66FF"/>
    <w:rsid w:val="00EA7D8B"/>
    <w:rsid w:val="00ED390F"/>
    <w:rsid w:val="00EE0722"/>
    <w:rsid w:val="00F116D1"/>
    <w:rsid w:val="00F13174"/>
    <w:rsid w:val="00F2303C"/>
    <w:rsid w:val="00F30526"/>
    <w:rsid w:val="00F3072A"/>
    <w:rsid w:val="00F32A1A"/>
    <w:rsid w:val="00F47217"/>
    <w:rsid w:val="00F71265"/>
    <w:rsid w:val="00F76EA0"/>
    <w:rsid w:val="00F82019"/>
    <w:rsid w:val="00F84770"/>
    <w:rsid w:val="00FA0918"/>
    <w:rsid w:val="00FA3882"/>
    <w:rsid w:val="00FB289E"/>
    <w:rsid w:val="00FB50DE"/>
    <w:rsid w:val="00FB6914"/>
    <w:rsid w:val="00FB7D84"/>
    <w:rsid w:val="00FC3E94"/>
    <w:rsid w:val="00FD68CE"/>
    <w:rsid w:val="00FE3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39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378"/>
    <w:pPr>
      <w:tabs>
        <w:tab w:val="center" w:pos="4680"/>
        <w:tab w:val="right" w:pos="9360"/>
      </w:tabs>
    </w:pPr>
  </w:style>
  <w:style w:type="character" w:customStyle="1" w:styleId="HeaderChar">
    <w:name w:val="Header Char"/>
    <w:basedOn w:val="DefaultParagraphFont"/>
    <w:link w:val="Header"/>
    <w:uiPriority w:val="99"/>
    <w:rsid w:val="00DE4378"/>
  </w:style>
  <w:style w:type="paragraph" w:styleId="Footer">
    <w:name w:val="footer"/>
    <w:basedOn w:val="Normal"/>
    <w:link w:val="FooterChar"/>
    <w:uiPriority w:val="99"/>
    <w:unhideWhenUsed/>
    <w:rsid w:val="00DE4378"/>
    <w:pPr>
      <w:tabs>
        <w:tab w:val="center" w:pos="4680"/>
        <w:tab w:val="right" w:pos="9360"/>
      </w:tabs>
    </w:pPr>
  </w:style>
  <w:style w:type="character" w:customStyle="1" w:styleId="FooterChar">
    <w:name w:val="Footer Char"/>
    <w:basedOn w:val="DefaultParagraphFont"/>
    <w:link w:val="Footer"/>
    <w:uiPriority w:val="99"/>
    <w:rsid w:val="00DE4378"/>
  </w:style>
  <w:style w:type="table" w:styleId="TableGrid">
    <w:name w:val="Table Grid"/>
    <w:basedOn w:val="TableNormal"/>
    <w:rsid w:val="00DE43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378"/>
    <w:rPr>
      <w:rFonts w:ascii="Tahoma" w:hAnsi="Tahoma" w:cs="Tahoma"/>
      <w:sz w:val="16"/>
      <w:szCs w:val="16"/>
    </w:rPr>
  </w:style>
  <w:style w:type="character" w:customStyle="1" w:styleId="BalloonTextChar">
    <w:name w:val="Balloon Text Char"/>
    <w:basedOn w:val="DefaultParagraphFont"/>
    <w:link w:val="BalloonText"/>
    <w:uiPriority w:val="99"/>
    <w:semiHidden/>
    <w:rsid w:val="00DE4378"/>
    <w:rPr>
      <w:rFonts w:ascii="Tahoma" w:hAnsi="Tahoma" w:cs="Tahoma"/>
      <w:sz w:val="16"/>
      <w:szCs w:val="16"/>
    </w:rPr>
  </w:style>
  <w:style w:type="character" w:styleId="Hyperlink">
    <w:name w:val="Hyperlink"/>
    <w:basedOn w:val="DefaultParagraphFont"/>
    <w:rsid w:val="006458BE"/>
    <w:rPr>
      <w:color w:val="0000FF"/>
      <w:u w:val="single"/>
    </w:rPr>
  </w:style>
  <w:style w:type="paragraph" w:styleId="Title">
    <w:name w:val="Title"/>
    <w:basedOn w:val="Normal"/>
    <w:link w:val="TitleChar"/>
    <w:qFormat/>
    <w:rsid w:val="006458BE"/>
    <w:pPr>
      <w:jc w:val="center"/>
    </w:pPr>
    <w:rPr>
      <w:b/>
      <w:bCs/>
      <w:sz w:val="28"/>
      <w:szCs w:val="24"/>
      <w:lang w:val="id-ID"/>
    </w:rPr>
  </w:style>
  <w:style w:type="character" w:customStyle="1" w:styleId="TitleChar">
    <w:name w:val="Title Char"/>
    <w:basedOn w:val="DefaultParagraphFont"/>
    <w:link w:val="Title"/>
    <w:rsid w:val="006458BE"/>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6458BE"/>
  </w:style>
  <w:style w:type="character" w:customStyle="1" w:styleId="fontstyle01">
    <w:name w:val="fontstyle01"/>
    <w:basedOn w:val="DefaultParagraphFont"/>
    <w:rsid w:val="006458BE"/>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458BE"/>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90560B"/>
    <w:rPr>
      <w:color w:val="605E5C"/>
      <w:shd w:val="clear" w:color="auto" w:fill="E1DFDD"/>
    </w:rPr>
  </w:style>
  <w:style w:type="paragraph" w:styleId="NormalWeb">
    <w:name w:val="Normal (Web)"/>
    <w:basedOn w:val="Normal"/>
    <w:uiPriority w:val="99"/>
    <w:semiHidden/>
    <w:unhideWhenUsed/>
    <w:rsid w:val="000E7779"/>
    <w:rPr>
      <w:sz w:val="24"/>
      <w:szCs w:val="24"/>
    </w:rPr>
  </w:style>
  <w:style w:type="paragraph" w:styleId="ListParagraph">
    <w:name w:val="List Paragraph"/>
    <w:basedOn w:val="Normal"/>
    <w:uiPriority w:val="34"/>
    <w:qFormat/>
    <w:rsid w:val="00C05AB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8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378"/>
    <w:pPr>
      <w:tabs>
        <w:tab w:val="center" w:pos="4680"/>
        <w:tab w:val="right" w:pos="9360"/>
      </w:tabs>
    </w:pPr>
  </w:style>
  <w:style w:type="character" w:customStyle="1" w:styleId="HeaderChar">
    <w:name w:val="Header Char"/>
    <w:basedOn w:val="DefaultParagraphFont"/>
    <w:link w:val="Header"/>
    <w:uiPriority w:val="99"/>
    <w:rsid w:val="00DE4378"/>
  </w:style>
  <w:style w:type="paragraph" w:styleId="Footer">
    <w:name w:val="footer"/>
    <w:basedOn w:val="Normal"/>
    <w:link w:val="FooterChar"/>
    <w:uiPriority w:val="99"/>
    <w:unhideWhenUsed/>
    <w:rsid w:val="00DE4378"/>
    <w:pPr>
      <w:tabs>
        <w:tab w:val="center" w:pos="4680"/>
        <w:tab w:val="right" w:pos="9360"/>
      </w:tabs>
    </w:pPr>
  </w:style>
  <w:style w:type="character" w:customStyle="1" w:styleId="FooterChar">
    <w:name w:val="Footer Char"/>
    <w:basedOn w:val="DefaultParagraphFont"/>
    <w:link w:val="Footer"/>
    <w:uiPriority w:val="99"/>
    <w:rsid w:val="00DE4378"/>
  </w:style>
  <w:style w:type="table" w:styleId="TableGrid">
    <w:name w:val="Table Grid"/>
    <w:basedOn w:val="TableNormal"/>
    <w:rsid w:val="00DE43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4378"/>
    <w:rPr>
      <w:rFonts w:ascii="Tahoma" w:hAnsi="Tahoma" w:cs="Tahoma"/>
      <w:sz w:val="16"/>
      <w:szCs w:val="16"/>
    </w:rPr>
  </w:style>
  <w:style w:type="character" w:customStyle="1" w:styleId="BalloonTextChar">
    <w:name w:val="Balloon Text Char"/>
    <w:basedOn w:val="DefaultParagraphFont"/>
    <w:link w:val="BalloonText"/>
    <w:uiPriority w:val="99"/>
    <w:semiHidden/>
    <w:rsid w:val="00DE4378"/>
    <w:rPr>
      <w:rFonts w:ascii="Tahoma" w:hAnsi="Tahoma" w:cs="Tahoma"/>
      <w:sz w:val="16"/>
      <w:szCs w:val="16"/>
    </w:rPr>
  </w:style>
  <w:style w:type="character" w:styleId="Hyperlink">
    <w:name w:val="Hyperlink"/>
    <w:basedOn w:val="DefaultParagraphFont"/>
    <w:rsid w:val="006458BE"/>
    <w:rPr>
      <w:color w:val="0000FF"/>
      <w:u w:val="single"/>
    </w:rPr>
  </w:style>
  <w:style w:type="paragraph" w:styleId="Title">
    <w:name w:val="Title"/>
    <w:basedOn w:val="Normal"/>
    <w:link w:val="TitleChar"/>
    <w:qFormat/>
    <w:rsid w:val="006458BE"/>
    <w:pPr>
      <w:jc w:val="center"/>
    </w:pPr>
    <w:rPr>
      <w:b/>
      <w:bCs/>
      <w:sz w:val="28"/>
      <w:szCs w:val="24"/>
      <w:lang w:val="id-ID"/>
    </w:rPr>
  </w:style>
  <w:style w:type="character" w:customStyle="1" w:styleId="TitleChar">
    <w:name w:val="Title Char"/>
    <w:basedOn w:val="DefaultParagraphFont"/>
    <w:link w:val="Title"/>
    <w:rsid w:val="006458BE"/>
    <w:rPr>
      <w:rFonts w:ascii="Times New Roman" w:eastAsia="Times New Roman" w:hAnsi="Times New Roman" w:cs="Times New Roman"/>
      <w:b/>
      <w:bCs/>
      <w:sz w:val="28"/>
      <w:szCs w:val="24"/>
      <w:lang w:val="id-ID"/>
    </w:rPr>
  </w:style>
  <w:style w:type="character" w:customStyle="1" w:styleId="apple-style-span">
    <w:name w:val="apple-style-span"/>
    <w:basedOn w:val="DefaultParagraphFont"/>
    <w:rsid w:val="006458BE"/>
  </w:style>
  <w:style w:type="character" w:customStyle="1" w:styleId="fontstyle01">
    <w:name w:val="fontstyle01"/>
    <w:basedOn w:val="DefaultParagraphFont"/>
    <w:rsid w:val="006458BE"/>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6458BE"/>
    <w:rPr>
      <w:rFonts w:ascii="NimbusRomNo9L-Regu" w:hAnsi="NimbusRomNo9L-Regu" w:hint="default"/>
      <w:b w:val="0"/>
      <w:bCs w:val="0"/>
      <w:i w:val="0"/>
      <w:iCs w:val="0"/>
      <w:color w:val="000000"/>
      <w:sz w:val="20"/>
      <w:szCs w:val="20"/>
    </w:rPr>
  </w:style>
  <w:style w:type="character" w:customStyle="1" w:styleId="UnresolvedMention">
    <w:name w:val="Unresolved Mention"/>
    <w:basedOn w:val="DefaultParagraphFont"/>
    <w:uiPriority w:val="99"/>
    <w:semiHidden/>
    <w:unhideWhenUsed/>
    <w:rsid w:val="0090560B"/>
    <w:rPr>
      <w:color w:val="605E5C"/>
      <w:shd w:val="clear" w:color="auto" w:fill="E1DFDD"/>
    </w:rPr>
  </w:style>
  <w:style w:type="paragraph" w:styleId="NormalWeb">
    <w:name w:val="Normal (Web)"/>
    <w:basedOn w:val="Normal"/>
    <w:uiPriority w:val="99"/>
    <w:semiHidden/>
    <w:unhideWhenUsed/>
    <w:rsid w:val="000E7779"/>
    <w:rPr>
      <w:sz w:val="24"/>
      <w:szCs w:val="24"/>
    </w:rPr>
  </w:style>
  <w:style w:type="paragraph" w:styleId="ListParagraph">
    <w:name w:val="List Paragraph"/>
    <w:basedOn w:val="Normal"/>
    <w:uiPriority w:val="34"/>
    <w:qFormat/>
    <w:rsid w:val="00C05A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931764">
      <w:bodyDiv w:val="1"/>
      <w:marLeft w:val="0"/>
      <w:marRight w:val="0"/>
      <w:marTop w:val="0"/>
      <w:marBottom w:val="0"/>
      <w:divBdr>
        <w:top w:val="none" w:sz="0" w:space="0" w:color="auto"/>
        <w:left w:val="none" w:sz="0" w:space="0" w:color="auto"/>
        <w:bottom w:val="none" w:sz="0" w:space="0" w:color="auto"/>
        <w:right w:val="none" w:sz="0" w:space="0" w:color="auto"/>
      </w:divBdr>
    </w:div>
    <w:div w:id="1101875401">
      <w:bodyDiv w:val="1"/>
      <w:marLeft w:val="0"/>
      <w:marRight w:val="0"/>
      <w:marTop w:val="0"/>
      <w:marBottom w:val="0"/>
      <w:divBdr>
        <w:top w:val="none" w:sz="0" w:space="0" w:color="auto"/>
        <w:left w:val="none" w:sz="0" w:space="0" w:color="auto"/>
        <w:bottom w:val="none" w:sz="0" w:space="0" w:color="auto"/>
        <w:right w:val="none" w:sz="0" w:space="0" w:color="auto"/>
      </w:divBdr>
    </w:div>
    <w:div w:id="1511679519">
      <w:bodyDiv w:val="1"/>
      <w:marLeft w:val="0"/>
      <w:marRight w:val="0"/>
      <w:marTop w:val="0"/>
      <w:marBottom w:val="0"/>
      <w:divBdr>
        <w:top w:val="none" w:sz="0" w:space="0" w:color="auto"/>
        <w:left w:val="none" w:sz="0" w:space="0" w:color="auto"/>
        <w:bottom w:val="none" w:sz="0" w:space="0" w:color="auto"/>
        <w:right w:val="none" w:sz="0" w:space="0" w:color="auto"/>
      </w:divBdr>
    </w:div>
    <w:div w:id="1573544184">
      <w:bodyDiv w:val="1"/>
      <w:marLeft w:val="0"/>
      <w:marRight w:val="0"/>
      <w:marTop w:val="0"/>
      <w:marBottom w:val="0"/>
      <w:divBdr>
        <w:top w:val="none" w:sz="0" w:space="0" w:color="auto"/>
        <w:left w:val="none" w:sz="0" w:space="0" w:color="auto"/>
        <w:bottom w:val="none" w:sz="0" w:space="0" w:color="auto"/>
        <w:right w:val="none" w:sz="0" w:space="0" w:color="auto"/>
      </w:divBdr>
    </w:div>
    <w:div w:id="1763644369">
      <w:bodyDiv w:val="1"/>
      <w:marLeft w:val="0"/>
      <w:marRight w:val="0"/>
      <w:marTop w:val="0"/>
      <w:marBottom w:val="0"/>
      <w:divBdr>
        <w:top w:val="none" w:sz="0" w:space="0" w:color="auto"/>
        <w:left w:val="none" w:sz="0" w:space="0" w:color="auto"/>
        <w:bottom w:val="none" w:sz="0" w:space="0" w:color="auto"/>
        <w:right w:val="none" w:sz="0" w:space="0" w:color="auto"/>
      </w:divBdr>
    </w:div>
    <w:div w:id="1780252114">
      <w:bodyDiv w:val="1"/>
      <w:marLeft w:val="0"/>
      <w:marRight w:val="0"/>
      <w:marTop w:val="0"/>
      <w:marBottom w:val="0"/>
      <w:divBdr>
        <w:top w:val="none" w:sz="0" w:space="0" w:color="auto"/>
        <w:left w:val="none" w:sz="0" w:space="0" w:color="auto"/>
        <w:bottom w:val="none" w:sz="0" w:space="0" w:color="auto"/>
        <w:right w:val="none" w:sz="0" w:space="0" w:color="auto"/>
      </w:divBdr>
    </w:div>
    <w:div w:id="1812594770">
      <w:bodyDiv w:val="1"/>
      <w:marLeft w:val="0"/>
      <w:marRight w:val="0"/>
      <w:marTop w:val="0"/>
      <w:marBottom w:val="0"/>
      <w:divBdr>
        <w:top w:val="none" w:sz="0" w:space="0" w:color="auto"/>
        <w:left w:val="none" w:sz="0" w:space="0" w:color="auto"/>
        <w:bottom w:val="none" w:sz="0" w:space="0" w:color="auto"/>
        <w:right w:val="none" w:sz="0" w:space="0" w:color="auto"/>
      </w:divBdr>
    </w:div>
    <w:div w:id="1967736563">
      <w:bodyDiv w:val="1"/>
      <w:marLeft w:val="0"/>
      <w:marRight w:val="0"/>
      <w:marTop w:val="0"/>
      <w:marBottom w:val="0"/>
      <w:divBdr>
        <w:top w:val="none" w:sz="0" w:space="0" w:color="auto"/>
        <w:left w:val="none" w:sz="0" w:space="0" w:color="auto"/>
        <w:bottom w:val="none" w:sz="0" w:space="0" w:color="auto"/>
        <w:right w:val="none" w:sz="0" w:space="0" w:color="auto"/>
      </w:divBdr>
    </w:div>
    <w:div w:id="21298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ya.ali@mtu.edu.iq%20" TargetMode="External"/><Relationship Id="rId13" Type="http://schemas.openxmlformats.org/officeDocument/2006/relationships/image" Target="media/image3.emf"/><Relationship Id="rId18" Type="http://schemas.openxmlformats.org/officeDocument/2006/relationships/hyperlink" Target="https://doi.org/10.1054/bjoc.2001.2003" TargetMode="External"/><Relationship Id="rId26" Type="http://schemas.openxmlformats.org/officeDocument/2006/relationships/hyperlink" Target="https://doi.org/10.2147/BCTT.S268401" TargetMode="External"/><Relationship Id="rId3" Type="http://schemas.microsoft.com/office/2007/relationships/stylesWithEffects" Target="stylesWithEffects.xml"/><Relationship Id="rId21" Type="http://schemas.openxmlformats.org/officeDocument/2006/relationships/hyperlink" Target="https://doi.org/10.18632/oncotarget.134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commons.aku.edu/pakistan_fhs_mc_med_intern_med/79" TargetMode="External"/><Relationship Id="rId25" Type="http://schemas.openxmlformats.org/officeDocument/2006/relationships/hyperlink" Target="https://doi.org/10.1155/2013/74731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semcancer.2020.02.010" TargetMode="External"/><Relationship Id="rId20" Type="http://schemas.openxmlformats.org/officeDocument/2006/relationships/hyperlink" Target="https://doi.org/10.22034/APJCP.2018.19.3.703"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002/cam4.142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3109/02841859109177552" TargetMode="External"/><Relationship Id="rId23" Type="http://schemas.openxmlformats.org/officeDocument/2006/relationships/hyperlink" Target="https://doi.org/10.1016/j.clinimag.2022.11.002" TargetMode="External"/><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hyperlink" Target="https://doi.org/10.1002/cam4.1847"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186/s12885-022-09913-6" TargetMode="External"/><Relationship Id="rId22" Type="http://schemas.openxmlformats.org/officeDocument/2006/relationships/hyperlink" Target="https://doi.org/10.1056/NEJMoa062790"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GB"/>
              <a:t>Distribution of patients according  age group</a:t>
            </a:r>
          </a:p>
        </c:rich>
      </c:tx>
      <c:overlay val="0"/>
    </c:title>
    <c:autoTitleDeleted val="0"/>
    <c:view3D>
      <c:rotX val="30"/>
      <c:rotY val="36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20%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6A23-44B3-9E90-14E0FA102138}"/>
                </c:ext>
              </c:extLst>
            </c:dLbl>
            <c:dLbl>
              <c:idx val="1"/>
              <c:tx>
                <c:rich>
                  <a:bodyPr/>
                  <a:lstStyle/>
                  <a:p>
                    <a:r>
                      <a:rPr lang="en-US"/>
                      <a:t>45%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6A23-44B3-9E90-14E0FA102138}"/>
                </c:ext>
              </c:extLst>
            </c:dLbl>
            <c:dLbl>
              <c:idx val="2"/>
              <c:tx>
                <c:rich>
                  <a:bodyPr/>
                  <a:lstStyle/>
                  <a:p>
                    <a:r>
                      <a:rPr lang="en-US"/>
                      <a:t>35%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A23-44B3-9E90-14E0FA102138}"/>
                </c:ext>
              </c:extLst>
            </c:dLbl>
            <c:dLbl>
              <c:idx val="3"/>
              <c:tx>
                <c:rich>
                  <a:bodyPr/>
                  <a:lstStyle/>
                  <a:p>
                    <a:r>
                      <a:rPr lang="en-US"/>
                      <a:t>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6A23-44B3-9E90-14E0FA102138}"/>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Below 40 years</c:v>
                </c:pt>
                <c:pt idx="1">
                  <c:v>40 - 50 years</c:v>
                </c:pt>
                <c:pt idx="2">
                  <c:v>51 - 60 years</c:v>
                </c:pt>
                <c:pt idx="3">
                  <c:v>Above 60 years</c:v>
                </c:pt>
              </c:strCache>
            </c:strRef>
          </c:cat>
          <c:val>
            <c:numRef>
              <c:f>Sheet1!$B$2:$B$5</c:f>
              <c:numCache>
                <c:formatCode>0%</c:formatCode>
                <c:ptCount val="4"/>
                <c:pt idx="0">
                  <c:v>0.2</c:v>
                </c:pt>
                <c:pt idx="1">
                  <c:v>0.45</c:v>
                </c:pt>
                <c:pt idx="2">
                  <c:v>0.35</c:v>
                </c:pt>
                <c:pt idx="3">
                  <c:v>0</c:v>
                </c:pt>
              </c:numCache>
            </c:numRef>
          </c:val>
          <c:extLst xmlns:c16r2="http://schemas.microsoft.com/office/drawing/2015/06/chart">
            <c:ext xmlns:c16="http://schemas.microsoft.com/office/drawing/2014/chart" uri="{C3380CC4-5D6E-409C-BE32-E72D297353CC}">
              <c16:uniqueId val="{00000004-6A23-44B3-9E90-14E0FA10213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lgn="ctr">
              <a:defRPr/>
            </a:pPr>
            <a:r>
              <a:rPr lang="en-GB" sz="1200"/>
              <a:t>Distribution of Reproductive History</a:t>
            </a:r>
            <a:r>
              <a:rPr lang="en-GB" sz="1200" baseline="0"/>
              <a:t> Data of Women </a:t>
            </a:r>
            <a:endParaRPr lang="en-GB" sz="1200"/>
          </a:p>
        </c:rich>
      </c:tx>
      <c:layout>
        <c:manualLayout>
          <c:xMode val="edge"/>
          <c:yMode val="edge"/>
          <c:x val="8.3822075782537059E-2"/>
          <c:y val="1.5631107824612571E-2"/>
        </c:manualLayout>
      </c:layout>
      <c:overlay val="0"/>
    </c:title>
    <c:autoTitleDeleted val="0"/>
    <c:plotArea>
      <c:layout/>
      <c:barChart>
        <c:barDir val="col"/>
        <c:grouping val="clustered"/>
        <c:varyColors val="0"/>
        <c:ser>
          <c:idx val="0"/>
          <c:order val="0"/>
          <c:invertIfNegative val="0"/>
          <c:cat>
            <c:strRef>
              <c:f>Sheet1!$A$1:$A$4</c:f>
              <c:strCache>
                <c:ptCount val="4"/>
                <c:pt idx="0">
                  <c:v>Childbearing before age 30</c:v>
                </c:pt>
                <c:pt idx="1">
                  <c:v>Delayed first pregnancy (after age 35)</c:v>
                </c:pt>
                <c:pt idx="2">
                  <c:v>History of hormone replacement therapy (HRT)</c:v>
                </c:pt>
                <c:pt idx="3">
                  <c:v>Long-term use of oral contraceptives after age 40</c:v>
                </c:pt>
              </c:strCache>
            </c:strRef>
          </c:cat>
          <c:val>
            <c:numRef>
              <c:f>Sheet1!$B$1:$B$4</c:f>
              <c:numCache>
                <c:formatCode>0%</c:formatCode>
                <c:ptCount val="4"/>
                <c:pt idx="0">
                  <c:v>0.6</c:v>
                </c:pt>
                <c:pt idx="1">
                  <c:v>0.25</c:v>
                </c:pt>
                <c:pt idx="2">
                  <c:v>0.2</c:v>
                </c:pt>
                <c:pt idx="3">
                  <c:v>0.15</c:v>
                </c:pt>
              </c:numCache>
            </c:numRef>
          </c:val>
        </c:ser>
        <c:dLbls>
          <c:showLegendKey val="0"/>
          <c:showVal val="0"/>
          <c:showCatName val="0"/>
          <c:showSerName val="0"/>
          <c:showPercent val="0"/>
          <c:showBubbleSize val="0"/>
        </c:dLbls>
        <c:gapWidth val="75"/>
        <c:overlap val="-25"/>
        <c:axId val="225948800"/>
        <c:axId val="225950336"/>
      </c:barChart>
      <c:catAx>
        <c:axId val="225948800"/>
        <c:scaling>
          <c:orientation val="maxMin"/>
        </c:scaling>
        <c:delete val="0"/>
        <c:axPos val="b"/>
        <c:majorTickMark val="none"/>
        <c:minorTickMark val="none"/>
        <c:tickLblPos val="nextTo"/>
        <c:crossAx val="225950336"/>
        <c:crosses val="autoZero"/>
        <c:auto val="1"/>
        <c:lblAlgn val="ctr"/>
        <c:lblOffset val="100"/>
        <c:noMultiLvlLbl val="0"/>
      </c:catAx>
      <c:valAx>
        <c:axId val="225950336"/>
        <c:scaling>
          <c:orientation val="minMax"/>
        </c:scaling>
        <c:delete val="0"/>
        <c:axPos val="r"/>
        <c:numFmt formatCode="0%" sourceLinked="1"/>
        <c:majorTickMark val="none"/>
        <c:minorTickMark val="none"/>
        <c:tickLblPos val="nextTo"/>
        <c:crossAx val="2259488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229</TotalTime>
  <Pages>1</Pages>
  <Words>3917</Words>
  <Characters>22331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34</cp:revision>
  <cp:lastPrinted>2025-08-16T07:31:00Z</cp:lastPrinted>
  <dcterms:created xsi:type="dcterms:W3CDTF">2025-05-06T08:08:00Z</dcterms:created>
  <dcterms:modified xsi:type="dcterms:W3CDTF">2025-08-16T07:31:00Z</dcterms:modified>
</cp:coreProperties>
</file>