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73" w:rsidRPr="00515199" w:rsidRDefault="00515199" w:rsidP="00515199">
      <w:pPr>
        <w:jc w:val="center"/>
        <w:rPr>
          <w:rFonts w:asciiTheme="majorBidi" w:hAnsiTheme="majorBidi" w:cstheme="majorBidi"/>
          <w:b/>
          <w:bCs/>
          <w:sz w:val="32"/>
          <w:szCs w:val="32"/>
          <w:lang w:bidi="ar-IQ"/>
        </w:rPr>
      </w:pPr>
      <w:r w:rsidRPr="00515199">
        <w:rPr>
          <w:rFonts w:asciiTheme="majorBidi" w:hAnsiTheme="majorBidi" w:cstheme="majorBidi"/>
          <w:b/>
          <w:bCs/>
          <w:sz w:val="32"/>
          <w:szCs w:val="32"/>
          <w:lang w:bidi="ar-IQ"/>
        </w:rPr>
        <w:t>Assess Uranium Concentration Levels in Blood S</w:t>
      </w:r>
      <w:r w:rsidR="00C74D2F" w:rsidRPr="00515199">
        <w:rPr>
          <w:rFonts w:asciiTheme="majorBidi" w:hAnsiTheme="majorBidi" w:cstheme="majorBidi"/>
          <w:b/>
          <w:bCs/>
          <w:sz w:val="32"/>
          <w:szCs w:val="32"/>
          <w:lang w:bidi="ar-IQ"/>
        </w:rPr>
        <w:t>ampl</w:t>
      </w:r>
      <w:r w:rsidRPr="00515199">
        <w:rPr>
          <w:rFonts w:asciiTheme="majorBidi" w:hAnsiTheme="majorBidi" w:cstheme="majorBidi"/>
          <w:b/>
          <w:bCs/>
          <w:sz w:val="32"/>
          <w:szCs w:val="32"/>
          <w:lang w:bidi="ar-IQ"/>
        </w:rPr>
        <w:t>es of Iraqi P</w:t>
      </w:r>
      <w:r w:rsidR="0041791C">
        <w:rPr>
          <w:rFonts w:asciiTheme="majorBidi" w:hAnsiTheme="majorBidi" w:cstheme="majorBidi"/>
          <w:b/>
          <w:bCs/>
          <w:sz w:val="32"/>
          <w:szCs w:val="32"/>
          <w:lang w:bidi="ar-IQ"/>
        </w:rPr>
        <w:t>ersonnel at t</w:t>
      </w:r>
      <w:r w:rsidR="00C74D2F" w:rsidRPr="00515199">
        <w:rPr>
          <w:rFonts w:asciiTheme="majorBidi" w:hAnsiTheme="majorBidi" w:cstheme="majorBidi"/>
          <w:b/>
          <w:bCs/>
          <w:sz w:val="32"/>
          <w:szCs w:val="32"/>
          <w:lang w:bidi="ar-IQ"/>
        </w:rPr>
        <w:t xml:space="preserve">he </w:t>
      </w:r>
      <w:proofErr w:type="spellStart"/>
      <w:r w:rsidRPr="00515199">
        <w:rPr>
          <w:rFonts w:asciiTheme="majorBidi" w:hAnsiTheme="majorBidi" w:cstheme="majorBidi"/>
          <w:b/>
          <w:bCs/>
          <w:sz w:val="32"/>
          <w:szCs w:val="32"/>
          <w:lang w:bidi="ar-IQ"/>
        </w:rPr>
        <w:t>Tuwaitha</w:t>
      </w:r>
      <w:proofErr w:type="spellEnd"/>
      <w:r w:rsidRPr="00515199">
        <w:rPr>
          <w:rFonts w:asciiTheme="majorBidi" w:hAnsiTheme="majorBidi" w:cstheme="majorBidi"/>
          <w:b/>
          <w:bCs/>
          <w:sz w:val="32"/>
          <w:szCs w:val="32"/>
          <w:lang w:bidi="ar-IQ"/>
        </w:rPr>
        <w:t xml:space="preserve"> N</w:t>
      </w:r>
      <w:r w:rsidR="00C74D2F" w:rsidRPr="00515199">
        <w:rPr>
          <w:rFonts w:asciiTheme="majorBidi" w:hAnsiTheme="majorBidi" w:cstheme="majorBidi"/>
          <w:b/>
          <w:bCs/>
          <w:sz w:val="32"/>
          <w:szCs w:val="32"/>
          <w:lang w:bidi="ar-IQ"/>
        </w:rPr>
        <w:t>uclear</w:t>
      </w:r>
      <w:r w:rsidRPr="00515199">
        <w:rPr>
          <w:rFonts w:asciiTheme="majorBidi" w:hAnsiTheme="majorBidi" w:cstheme="majorBidi"/>
          <w:b/>
          <w:bCs/>
          <w:sz w:val="32"/>
          <w:szCs w:val="32"/>
          <w:lang w:bidi="ar-IQ"/>
        </w:rPr>
        <w:t xml:space="preserve"> S</w:t>
      </w:r>
      <w:r w:rsidR="00C74D2F" w:rsidRPr="00515199">
        <w:rPr>
          <w:rFonts w:asciiTheme="majorBidi" w:hAnsiTheme="majorBidi" w:cstheme="majorBidi"/>
          <w:b/>
          <w:bCs/>
          <w:sz w:val="32"/>
          <w:szCs w:val="32"/>
          <w:lang w:bidi="ar-IQ"/>
        </w:rPr>
        <w:t>ite</w:t>
      </w:r>
      <w:r>
        <w:rPr>
          <w:rFonts w:asciiTheme="majorBidi" w:hAnsiTheme="majorBidi" w:cstheme="majorBidi"/>
          <w:b/>
          <w:bCs/>
          <w:sz w:val="32"/>
          <w:szCs w:val="32"/>
          <w:lang w:bidi="ar-IQ"/>
        </w:rPr>
        <w:t xml:space="preserve"> </w:t>
      </w:r>
    </w:p>
    <w:p w:rsidR="006458BE" w:rsidRDefault="006458BE" w:rsidP="00515199">
      <w:pPr>
        <w:jc w:val="center"/>
        <w:rPr>
          <w:b/>
          <w:bCs/>
          <w:sz w:val="12"/>
          <w:szCs w:val="12"/>
        </w:rPr>
      </w:pPr>
    </w:p>
    <w:p w:rsidR="00515199" w:rsidRPr="00515199" w:rsidRDefault="00515199" w:rsidP="00515199">
      <w:pPr>
        <w:jc w:val="center"/>
        <w:rPr>
          <w:b/>
          <w:bCs/>
          <w:sz w:val="12"/>
          <w:szCs w:val="12"/>
        </w:rPr>
      </w:pPr>
    </w:p>
    <w:p w:rsidR="006458BE" w:rsidRPr="002146CE" w:rsidRDefault="007644FE" w:rsidP="00515199">
      <w:pPr>
        <w:jc w:val="center"/>
        <w:rPr>
          <w:b/>
          <w:bCs/>
          <w:sz w:val="24"/>
          <w:szCs w:val="24"/>
          <w:vertAlign w:val="superscript"/>
        </w:rPr>
      </w:pPr>
      <w:r>
        <w:rPr>
          <w:b/>
          <w:bCs/>
          <w:sz w:val="24"/>
          <w:szCs w:val="24"/>
        </w:rPr>
        <w:t xml:space="preserve">Lina </w:t>
      </w:r>
      <w:proofErr w:type="spellStart"/>
      <w:r>
        <w:rPr>
          <w:b/>
          <w:bCs/>
          <w:sz w:val="24"/>
          <w:szCs w:val="24"/>
        </w:rPr>
        <w:t>S.Al-Jameel</w:t>
      </w:r>
      <w:proofErr w:type="spellEnd"/>
      <w:r w:rsidR="00C05066" w:rsidRPr="002146CE">
        <w:rPr>
          <w:b/>
          <w:bCs/>
          <w:sz w:val="24"/>
          <w:szCs w:val="24"/>
          <w:vertAlign w:val="superscript"/>
        </w:rPr>
        <w:t>*</w:t>
      </w:r>
    </w:p>
    <w:p w:rsidR="006458BE" w:rsidRPr="00515199" w:rsidRDefault="008C7073" w:rsidP="00515199">
      <w:pPr>
        <w:jc w:val="center"/>
        <w:rPr>
          <w:sz w:val="22"/>
          <w:szCs w:val="22"/>
        </w:rPr>
      </w:pPr>
      <w:r w:rsidRPr="00515199">
        <w:rPr>
          <w:sz w:val="22"/>
          <w:szCs w:val="22"/>
        </w:rPr>
        <w:t>National diabetes c</w:t>
      </w:r>
      <w:r w:rsidR="00D81218">
        <w:rPr>
          <w:sz w:val="22"/>
          <w:szCs w:val="22"/>
        </w:rPr>
        <w:t xml:space="preserve">enter, </w:t>
      </w:r>
      <w:proofErr w:type="spellStart"/>
      <w:r w:rsidR="00D81218">
        <w:rPr>
          <w:sz w:val="22"/>
          <w:szCs w:val="22"/>
        </w:rPr>
        <w:t>Mustansiriyah</w:t>
      </w:r>
      <w:proofErr w:type="spellEnd"/>
      <w:r w:rsidR="00D81218">
        <w:rPr>
          <w:sz w:val="22"/>
          <w:szCs w:val="22"/>
        </w:rPr>
        <w:t xml:space="preserve"> University</w:t>
      </w:r>
      <w:r w:rsidRPr="00515199">
        <w:rPr>
          <w:sz w:val="22"/>
          <w:szCs w:val="22"/>
        </w:rPr>
        <w:t>,</w:t>
      </w:r>
      <w:r w:rsidR="00D81218">
        <w:rPr>
          <w:sz w:val="22"/>
          <w:szCs w:val="22"/>
        </w:rPr>
        <w:t xml:space="preserve"> </w:t>
      </w:r>
      <w:r w:rsidRPr="00515199">
        <w:rPr>
          <w:sz w:val="22"/>
          <w:szCs w:val="22"/>
        </w:rPr>
        <w:t>Baghdad, Iraq</w:t>
      </w:r>
    </w:p>
    <w:p w:rsidR="006458BE" w:rsidRPr="00515199" w:rsidRDefault="006458BE" w:rsidP="006458BE">
      <w:pPr>
        <w:jc w:val="center"/>
        <w:rPr>
          <w:sz w:val="12"/>
          <w:szCs w:val="12"/>
        </w:rPr>
      </w:pPr>
    </w:p>
    <w:tbl>
      <w:tblPr>
        <w:tblStyle w:val="TableGrid"/>
        <w:tblW w:w="8845" w:type="dxa"/>
        <w:jc w:val="center"/>
        <w:tblLook w:val="04A0" w:firstRow="1" w:lastRow="0" w:firstColumn="1" w:lastColumn="0" w:noHBand="0" w:noVBand="1"/>
      </w:tblPr>
      <w:tblGrid>
        <w:gridCol w:w="2789"/>
        <w:gridCol w:w="283"/>
        <w:gridCol w:w="5773"/>
      </w:tblGrid>
      <w:tr w:rsidR="006458BE" w:rsidTr="00FC7E2A">
        <w:trPr>
          <w:jc w:val="center"/>
        </w:trPr>
        <w:tc>
          <w:tcPr>
            <w:tcW w:w="2802" w:type="dxa"/>
            <w:tcBorders>
              <w:top w:val="double" w:sz="4" w:space="0" w:color="auto"/>
              <w:left w:val="nil"/>
              <w:bottom w:val="single" w:sz="4" w:space="0" w:color="auto"/>
              <w:right w:val="nil"/>
            </w:tcBorders>
          </w:tcPr>
          <w:p w:rsidR="006458BE" w:rsidRPr="00957C11" w:rsidRDefault="006458BE" w:rsidP="00FC7E2A">
            <w:pPr>
              <w:spacing w:before="120"/>
              <w:jc w:val="both"/>
              <w:rPr>
                <w:b/>
              </w:rPr>
            </w:pPr>
            <w:r w:rsidRPr="00957C11">
              <w:rPr>
                <w:b/>
              </w:rPr>
              <w:t>Article Info</w:t>
            </w:r>
          </w:p>
        </w:tc>
        <w:tc>
          <w:tcPr>
            <w:tcW w:w="283" w:type="dxa"/>
            <w:tcBorders>
              <w:top w:val="double" w:sz="4" w:space="0" w:color="auto"/>
              <w:left w:val="nil"/>
              <w:bottom w:val="nil"/>
              <w:right w:val="nil"/>
            </w:tcBorders>
          </w:tcPr>
          <w:p w:rsidR="006458BE" w:rsidRDefault="006458BE" w:rsidP="00FC7E2A">
            <w:pPr>
              <w:spacing w:before="120"/>
              <w:jc w:val="center"/>
            </w:pPr>
          </w:p>
        </w:tc>
        <w:tc>
          <w:tcPr>
            <w:tcW w:w="5812" w:type="dxa"/>
            <w:tcBorders>
              <w:top w:val="double" w:sz="4" w:space="0" w:color="auto"/>
              <w:left w:val="nil"/>
              <w:bottom w:val="single" w:sz="4" w:space="0" w:color="auto"/>
              <w:right w:val="nil"/>
            </w:tcBorders>
          </w:tcPr>
          <w:p w:rsidR="006458BE" w:rsidRPr="00957C11" w:rsidRDefault="006458BE" w:rsidP="00FC7E2A">
            <w:pPr>
              <w:spacing w:before="120"/>
              <w:rPr>
                <w:color w:val="000000"/>
                <w:sz w:val="24"/>
                <w:szCs w:val="24"/>
              </w:rPr>
            </w:pPr>
            <w:r w:rsidRPr="00957C11">
              <w:rPr>
                <w:b/>
                <w:bCs/>
                <w:iCs/>
                <w:color w:val="000000"/>
              </w:rPr>
              <w:t xml:space="preserve">ABSTRACT </w:t>
            </w:r>
          </w:p>
        </w:tc>
      </w:tr>
      <w:tr w:rsidR="006458BE" w:rsidTr="00FC7E2A">
        <w:trPr>
          <w:trHeight w:val="1268"/>
          <w:jc w:val="center"/>
        </w:trPr>
        <w:tc>
          <w:tcPr>
            <w:tcW w:w="2802" w:type="dxa"/>
            <w:tcBorders>
              <w:top w:val="single" w:sz="4" w:space="0" w:color="auto"/>
              <w:left w:val="nil"/>
              <w:bottom w:val="single" w:sz="4" w:space="0" w:color="auto"/>
              <w:right w:val="nil"/>
            </w:tcBorders>
          </w:tcPr>
          <w:p w:rsidR="006458BE" w:rsidRPr="007F286F" w:rsidRDefault="006458BE" w:rsidP="00FC7E2A">
            <w:pPr>
              <w:spacing w:before="120" w:after="120"/>
              <w:jc w:val="both"/>
              <w:rPr>
                <w:b/>
                <w:i/>
              </w:rPr>
            </w:pPr>
            <w:r w:rsidRPr="007F286F">
              <w:rPr>
                <w:b/>
                <w:i/>
              </w:rPr>
              <w:t>Article history:</w:t>
            </w:r>
          </w:p>
          <w:p w:rsidR="006458BE" w:rsidRDefault="006458BE" w:rsidP="00FC733A">
            <w:pPr>
              <w:jc w:val="both"/>
            </w:pPr>
            <w:r w:rsidRPr="00957C11">
              <w:t>Received</w:t>
            </w:r>
            <w:r w:rsidR="00812EB7">
              <w:t xml:space="preserve"> </w:t>
            </w:r>
            <w:r w:rsidR="00753044">
              <w:t xml:space="preserve"> </w:t>
            </w:r>
            <w:r w:rsidR="00812EB7">
              <w:t>April,</w:t>
            </w:r>
            <w:r w:rsidRPr="00523156">
              <w:t xml:space="preserve"> </w:t>
            </w:r>
            <w:r w:rsidR="00812EB7">
              <w:t>26</w:t>
            </w:r>
            <w:r w:rsidRPr="00523156">
              <w:t xml:space="preserve">, </w:t>
            </w:r>
            <w:r w:rsidR="00812EB7">
              <w:t>2025</w:t>
            </w:r>
          </w:p>
          <w:p w:rsidR="006458BE" w:rsidRDefault="006458BE" w:rsidP="00753044">
            <w:pPr>
              <w:jc w:val="both"/>
            </w:pPr>
            <w:r>
              <w:t>Revised</w:t>
            </w:r>
            <w:r w:rsidR="00812EB7">
              <w:t xml:space="preserve">    </w:t>
            </w:r>
            <w:r w:rsidR="00753044">
              <w:t>June</w:t>
            </w:r>
            <w:r w:rsidR="00C05066">
              <w:t>,</w:t>
            </w:r>
            <w:r w:rsidRPr="00523156">
              <w:t xml:space="preserve"> </w:t>
            </w:r>
            <w:r w:rsidR="00753044">
              <w:t>09</w:t>
            </w:r>
            <w:r w:rsidRPr="00523156">
              <w:t xml:space="preserve">, </w:t>
            </w:r>
            <w:r w:rsidR="00753044">
              <w:t xml:space="preserve">2025 </w:t>
            </w:r>
          </w:p>
          <w:p w:rsidR="006458BE" w:rsidRDefault="006458BE" w:rsidP="00753044">
            <w:pPr>
              <w:jc w:val="both"/>
            </w:pPr>
            <w:r>
              <w:t xml:space="preserve">Accepted </w:t>
            </w:r>
            <w:r w:rsidR="00753044">
              <w:t xml:space="preserve"> July,</w:t>
            </w:r>
            <w:r w:rsidRPr="00523156">
              <w:t xml:space="preserve"> </w:t>
            </w:r>
            <w:r w:rsidR="00753044">
              <w:t>20</w:t>
            </w:r>
            <w:r w:rsidRPr="00523156">
              <w:t xml:space="preserve">, </w:t>
            </w:r>
            <w:r w:rsidR="00753044">
              <w:t xml:space="preserve">2025 </w:t>
            </w:r>
          </w:p>
          <w:p w:rsidR="006458BE" w:rsidRPr="00957C11" w:rsidRDefault="006458BE" w:rsidP="00FC7E2A">
            <w:pPr>
              <w:jc w:val="both"/>
            </w:pPr>
          </w:p>
        </w:tc>
        <w:tc>
          <w:tcPr>
            <w:tcW w:w="283" w:type="dxa"/>
            <w:vMerge w:val="restart"/>
            <w:tcBorders>
              <w:top w:val="nil"/>
              <w:left w:val="nil"/>
              <w:bottom w:val="nil"/>
              <w:right w:val="nil"/>
            </w:tcBorders>
          </w:tcPr>
          <w:p w:rsidR="006458BE" w:rsidRDefault="006458BE" w:rsidP="00FC7E2A">
            <w:pPr>
              <w:spacing w:before="120"/>
              <w:jc w:val="both"/>
            </w:pPr>
          </w:p>
        </w:tc>
        <w:tc>
          <w:tcPr>
            <w:tcW w:w="5812" w:type="dxa"/>
            <w:vMerge w:val="restart"/>
            <w:tcBorders>
              <w:top w:val="single" w:sz="4" w:space="0" w:color="auto"/>
              <w:left w:val="nil"/>
              <w:bottom w:val="nil"/>
              <w:right w:val="nil"/>
            </w:tcBorders>
          </w:tcPr>
          <w:p w:rsidR="005E5D05" w:rsidRPr="005E5D05" w:rsidRDefault="005E5D05" w:rsidP="00355F37">
            <w:pPr>
              <w:pStyle w:val="NormalWeb"/>
              <w:jc w:val="lowKashida"/>
              <w:rPr>
                <w:rFonts w:asciiTheme="majorBidi" w:hAnsiTheme="majorBidi" w:cstheme="majorBidi"/>
                <w:color w:val="0E101A"/>
                <w:sz w:val="12"/>
                <w:szCs w:val="12"/>
              </w:rPr>
            </w:pPr>
          </w:p>
          <w:p w:rsidR="006458BE" w:rsidRPr="00957C11" w:rsidRDefault="005E5D05" w:rsidP="00C05066">
            <w:pPr>
              <w:pStyle w:val="NormalWeb"/>
              <w:jc w:val="lowKashida"/>
            </w:pPr>
            <w:r>
              <w:rPr>
                <w:rFonts w:asciiTheme="majorBidi" w:hAnsiTheme="majorBidi" w:cstheme="majorBidi"/>
                <w:color w:val="0E101A"/>
                <w:sz w:val="20"/>
                <w:szCs w:val="20"/>
              </w:rPr>
              <w:t xml:space="preserve">             </w:t>
            </w:r>
            <w:r w:rsidR="008C7073" w:rsidRPr="008C7073">
              <w:rPr>
                <w:rFonts w:asciiTheme="majorBidi" w:hAnsiTheme="majorBidi" w:cstheme="majorBidi"/>
                <w:color w:val="0E101A"/>
                <w:sz w:val="20"/>
                <w:szCs w:val="20"/>
              </w:rPr>
              <w:t>Exposure to uranium within occupational settings or surrounding environments has the potential to cause cellular damage and elevate the risk of carcinogenesis.</w:t>
            </w:r>
            <w:r w:rsidR="00355F37">
              <w:t xml:space="preserve"> </w:t>
            </w:r>
            <w:r w:rsidR="00355F37" w:rsidRPr="00355F37">
              <w:rPr>
                <w:rFonts w:asciiTheme="majorBidi" w:hAnsiTheme="majorBidi" w:cstheme="majorBidi"/>
                <w:color w:val="0E101A"/>
                <w:sz w:val="20"/>
                <w:szCs w:val="20"/>
              </w:rPr>
              <w:t xml:space="preserve">This study aimed to assess the level of uranium toxicity in the blood and the possibility of health impact occurring on the personnel at The </w:t>
            </w:r>
            <w:proofErr w:type="spellStart"/>
            <w:r w:rsidR="00355F37" w:rsidRPr="00355F37">
              <w:rPr>
                <w:rFonts w:asciiTheme="majorBidi" w:hAnsiTheme="majorBidi" w:cstheme="majorBidi"/>
                <w:color w:val="0E101A"/>
                <w:sz w:val="20"/>
                <w:szCs w:val="20"/>
              </w:rPr>
              <w:t>Tuwaitha</w:t>
            </w:r>
            <w:proofErr w:type="spellEnd"/>
            <w:r w:rsidR="00355F37" w:rsidRPr="00355F37">
              <w:rPr>
                <w:rFonts w:asciiTheme="majorBidi" w:hAnsiTheme="majorBidi" w:cstheme="majorBidi"/>
                <w:color w:val="0E101A"/>
                <w:sz w:val="20"/>
                <w:szCs w:val="20"/>
              </w:rPr>
              <w:t xml:space="preserve"> site, which was previously utilized for nuclear activity and may contain a considerable amount of radioactive waste.</w:t>
            </w:r>
            <w:r w:rsidR="00C05066">
              <w:rPr>
                <w:rFonts w:asciiTheme="majorBidi" w:hAnsiTheme="majorBidi" w:cstheme="majorBidi"/>
                <w:color w:val="0E101A"/>
                <w:sz w:val="20"/>
                <w:szCs w:val="20"/>
              </w:rPr>
              <w:t xml:space="preserve"> </w:t>
            </w:r>
            <w:r w:rsidR="008C7073" w:rsidRPr="008C7073">
              <w:rPr>
                <w:rFonts w:asciiTheme="majorBidi" w:hAnsiTheme="majorBidi" w:cstheme="majorBidi"/>
                <w:color w:val="0E101A"/>
                <w:sz w:val="20"/>
                <w:szCs w:val="20"/>
              </w:rPr>
              <w:t>Personnel at this facility are at risk of pol</w:t>
            </w:r>
            <w:bookmarkStart w:id="0" w:name="_GoBack"/>
            <w:bookmarkEnd w:id="0"/>
            <w:r w:rsidR="008C7073" w:rsidRPr="008C7073">
              <w:rPr>
                <w:rFonts w:asciiTheme="majorBidi" w:hAnsiTheme="majorBidi" w:cstheme="majorBidi"/>
                <w:color w:val="0E101A"/>
                <w:sz w:val="20"/>
                <w:szCs w:val="20"/>
              </w:rPr>
              <w:t>lution due to the highly polluted environment of uranium.</w:t>
            </w:r>
            <w:r w:rsidR="0057581A">
              <w:rPr>
                <w:rFonts w:asciiTheme="majorBidi" w:hAnsiTheme="majorBidi" w:cstheme="majorBidi"/>
                <w:sz w:val="20"/>
                <w:szCs w:val="20"/>
              </w:rPr>
              <w:t xml:space="preserve"> </w:t>
            </w:r>
            <w:r w:rsidR="008C7073" w:rsidRPr="008C7073">
              <w:rPr>
                <w:rFonts w:asciiTheme="majorBidi" w:hAnsiTheme="majorBidi" w:cstheme="majorBidi"/>
                <w:sz w:val="20"/>
                <w:szCs w:val="20"/>
              </w:rPr>
              <w:t>Statistical</w:t>
            </w:r>
            <w:r w:rsidR="008C7073" w:rsidRPr="008C7073">
              <w:rPr>
                <w:sz w:val="20"/>
                <w:szCs w:val="20"/>
              </w:rPr>
              <w:t xml:space="preserve"> analysis was performed using the SPPS software application .</w:t>
            </w:r>
            <w:r w:rsidR="008C7073" w:rsidRPr="008C7073">
              <w:rPr>
                <w:rFonts w:asciiTheme="majorBidi" w:hAnsiTheme="majorBidi" w:cstheme="majorBidi"/>
                <w:color w:val="0E101A"/>
                <w:sz w:val="20"/>
                <w:szCs w:val="20"/>
              </w:rPr>
              <w:t xml:space="preserve">Thirty-six blood samples were taken from personnel at The </w:t>
            </w:r>
            <w:proofErr w:type="spellStart"/>
            <w:r w:rsidR="008C7073" w:rsidRPr="008C7073">
              <w:rPr>
                <w:rFonts w:asciiTheme="majorBidi" w:hAnsiTheme="majorBidi" w:cstheme="majorBidi"/>
                <w:color w:val="0E101A"/>
                <w:sz w:val="20"/>
                <w:szCs w:val="20"/>
              </w:rPr>
              <w:t>Tuwaitha</w:t>
            </w:r>
            <w:proofErr w:type="spellEnd"/>
            <w:r w:rsidR="008C7073" w:rsidRPr="008C7073">
              <w:rPr>
                <w:rFonts w:asciiTheme="majorBidi" w:hAnsiTheme="majorBidi" w:cstheme="majorBidi"/>
                <w:color w:val="0E101A"/>
                <w:sz w:val="20"/>
                <w:szCs w:val="20"/>
              </w:rPr>
              <w:t xml:space="preserve"> site, categorized in to two distinct cohorts: 8 personnel  lacking protective measures and 28 personnel utilizing protective equipment, along</w:t>
            </w:r>
            <w:r w:rsidR="00355F37">
              <w:rPr>
                <w:rFonts w:asciiTheme="majorBidi" w:hAnsiTheme="majorBidi" w:cstheme="majorBidi"/>
                <w:color w:val="0E101A"/>
                <w:sz w:val="20"/>
                <w:szCs w:val="20"/>
              </w:rPr>
              <w:t>-</w:t>
            </w:r>
            <w:r w:rsidR="008C7073" w:rsidRPr="008C7073">
              <w:rPr>
                <w:rFonts w:asciiTheme="majorBidi" w:hAnsiTheme="majorBidi" w:cstheme="majorBidi"/>
                <w:color w:val="0E101A"/>
                <w:sz w:val="20"/>
                <w:szCs w:val="20"/>
              </w:rPr>
              <w:t xml:space="preserve"> side 30 control subjects who had no prior occupational exposure to The </w:t>
            </w:r>
            <w:proofErr w:type="spellStart"/>
            <w:r w:rsidR="008C7073" w:rsidRPr="008C7073">
              <w:rPr>
                <w:rFonts w:asciiTheme="majorBidi" w:hAnsiTheme="majorBidi" w:cstheme="majorBidi"/>
                <w:color w:val="0E101A"/>
                <w:sz w:val="20"/>
                <w:szCs w:val="20"/>
              </w:rPr>
              <w:t>Tuwaitha</w:t>
            </w:r>
            <w:proofErr w:type="spellEnd"/>
            <w:r w:rsidR="008C7073" w:rsidRPr="008C7073">
              <w:rPr>
                <w:rFonts w:asciiTheme="majorBidi" w:hAnsiTheme="majorBidi" w:cstheme="majorBidi"/>
                <w:color w:val="0E101A"/>
                <w:sz w:val="20"/>
                <w:szCs w:val="20"/>
              </w:rPr>
              <w:t xml:space="preserve"> nuclear facility</w:t>
            </w:r>
            <w:r w:rsidR="008C7073" w:rsidRPr="008C7073">
              <w:rPr>
                <w:rFonts w:asciiTheme="majorBidi" w:hAnsiTheme="majorBidi" w:cstheme="majorBidi"/>
                <w:sz w:val="20"/>
                <w:szCs w:val="20"/>
              </w:rPr>
              <w:t xml:space="preserve"> .The CR-39 track  detector has been utilized to evaluate the concentration of uranium in blood samples by depositing a droplet of blood </w:t>
            </w:r>
            <w:r w:rsidR="0057581A">
              <w:rPr>
                <w:rFonts w:asciiTheme="majorBidi" w:hAnsiTheme="majorBidi" w:cstheme="majorBidi"/>
                <w:sz w:val="20"/>
                <w:szCs w:val="20"/>
              </w:rPr>
              <w:t>on</w:t>
            </w:r>
            <w:r w:rsidR="008C7073" w:rsidRPr="008C7073">
              <w:rPr>
                <w:rFonts w:asciiTheme="majorBidi" w:hAnsiTheme="majorBidi" w:cstheme="majorBidi"/>
                <w:sz w:val="20"/>
                <w:szCs w:val="20"/>
              </w:rPr>
              <w:t xml:space="preserve"> the detectors ,followed irradiation of CR-39 detectors  with a</w:t>
            </w:r>
            <w:r w:rsidR="0057581A">
              <w:rPr>
                <w:rFonts w:asciiTheme="majorBidi" w:hAnsiTheme="majorBidi" w:cstheme="majorBidi"/>
                <w:sz w:val="20"/>
                <w:szCs w:val="20"/>
              </w:rPr>
              <w:t xml:space="preserve"> </w:t>
            </w:r>
            <w:r w:rsidR="008C7073" w:rsidRPr="008C7073">
              <w:rPr>
                <w:rFonts w:asciiTheme="majorBidi" w:hAnsiTheme="majorBidi" w:cstheme="majorBidi"/>
                <w:sz w:val="20"/>
                <w:szCs w:val="20"/>
              </w:rPr>
              <w:t>neutron source</w:t>
            </w:r>
            <w:r w:rsidR="0057581A">
              <w:rPr>
                <w:rFonts w:asciiTheme="majorBidi" w:hAnsiTheme="majorBidi" w:cstheme="majorBidi"/>
                <w:sz w:val="20"/>
                <w:szCs w:val="20"/>
              </w:rPr>
              <w:t xml:space="preserve"> </w:t>
            </w:r>
            <w:r w:rsidR="008C7073" w:rsidRPr="008C7073">
              <w:rPr>
                <w:rFonts w:asciiTheme="majorBidi" w:hAnsiTheme="majorBidi" w:cstheme="majorBidi"/>
                <w:b/>
                <w:color w:val="000000"/>
                <w:spacing w:val="-2"/>
                <w:sz w:val="20"/>
                <w:szCs w:val="20"/>
              </w:rPr>
              <w:t>.</w:t>
            </w:r>
            <w:r w:rsidR="008C7073" w:rsidRPr="008C7073">
              <w:rPr>
                <w:sz w:val="20"/>
                <w:szCs w:val="20"/>
              </w:rPr>
              <w:t>The findings showed elevated</w:t>
            </w:r>
            <w:r w:rsidR="008C7073" w:rsidRPr="008C7073">
              <w:rPr>
                <w:rFonts w:asciiTheme="majorBidi" w:hAnsiTheme="majorBidi" w:cstheme="majorBidi"/>
                <w:sz w:val="20"/>
                <w:szCs w:val="20"/>
              </w:rPr>
              <w:t xml:space="preserve"> uranium concentrations in personnel lacking protective measures compared to those with protective measures</w:t>
            </w:r>
            <w:r w:rsidR="008C7073" w:rsidRPr="008C7073">
              <w:rPr>
                <w:sz w:val="20"/>
                <w:szCs w:val="20"/>
              </w:rPr>
              <w:t xml:space="preserve"> and the control .</w:t>
            </w:r>
            <w:r w:rsidR="008C7073" w:rsidRPr="008C7073">
              <w:rPr>
                <w:rFonts w:asciiTheme="majorBidi" w:hAnsiTheme="majorBidi" w:cstheme="majorBidi"/>
                <w:sz w:val="20"/>
                <w:szCs w:val="20"/>
              </w:rPr>
              <w:t>Furthe</w:t>
            </w:r>
            <w:r w:rsidR="00C05066">
              <w:rPr>
                <w:rFonts w:asciiTheme="majorBidi" w:hAnsiTheme="majorBidi" w:cstheme="majorBidi"/>
                <w:sz w:val="20"/>
                <w:szCs w:val="20"/>
              </w:rPr>
              <w:t xml:space="preserve">rmore, the results demonstrated </w:t>
            </w:r>
            <w:r w:rsidR="008C7073" w:rsidRPr="008C7073">
              <w:rPr>
                <w:rFonts w:asciiTheme="majorBidi" w:hAnsiTheme="majorBidi" w:cstheme="majorBidi"/>
                <w:sz w:val="20"/>
                <w:szCs w:val="20"/>
              </w:rPr>
              <w:t>a significant correlation between uranium concentrations and the duration of employment</w:t>
            </w:r>
            <w:r w:rsidR="008C7073" w:rsidRPr="008C7073">
              <w:rPr>
                <w:rFonts w:asciiTheme="majorBidi" w:hAnsiTheme="majorBidi" w:cstheme="majorBidi"/>
                <w:b/>
                <w:color w:val="000000"/>
                <w:sz w:val="20"/>
                <w:szCs w:val="20"/>
              </w:rPr>
              <w:t>.</w:t>
            </w:r>
            <w:r w:rsidR="008C7073" w:rsidRPr="008C7073">
              <w:rPr>
                <w:rFonts w:asciiTheme="majorBidi" w:hAnsiTheme="majorBidi" w:cstheme="majorBidi"/>
                <w:sz w:val="20"/>
                <w:szCs w:val="20"/>
              </w:rPr>
              <w:t xml:space="preserve"> Uranium concentration was found higher in blood samples in personnel </w:t>
            </w:r>
            <w:r w:rsidR="00C05066">
              <w:rPr>
                <w:rFonts w:asciiTheme="majorBidi" w:hAnsiTheme="majorBidi" w:cstheme="majorBidi"/>
                <w:sz w:val="20"/>
                <w:szCs w:val="20"/>
              </w:rPr>
              <w:t xml:space="preserve">than individuals who had never </w:t>
            </w:r>
            <w:r w:rsidR="008C7073" w:rsidRPr="008C7073">
              <w:rPr>
                <w:rFonts w:asciiTheme="majorBidi" w:hAnsiTheme="majorBidi" w:cstheme="majorBidi"/>
                <w:sz w:val="20"/>
                <w:szCs w:val="20"/>
              </w:rPr>
              <w:t xml:space="preserve">worked at </w:t>
            </w:r>
            <w:proofErr w:type="spellStart"/>
            <w:r w:rsidR="008C7073" w:rsidRPr="008C7073">
              <w:rPr>
                <w:rFonts w:asciiTheme="majorBidi" w:hAnsiTheme="majorBidi" w:cstheme="majorBidi"/>
                <w:sz w:val="20"/>
                <w:szCs w:val="20"/>
              </w:rPr>
              <w:t>Tuwaitha</w:t>
            </w:r>
            <w:proofErr w:type="spellEnd"/>
            <w:r w:rsidR="008C7073" w:rsidRPr="008C7073">
              <w:rPr>
                <w:rFonts w:asciiTheme="majorBidi" w:hAnsiTheme="majorBidi" w:cstheme="majorBidi"/>
                <w:sz w:val="20"/>
                <w:szCs w:val="20"/>
              </w:rPr>
              <w:t xml:space="preserve"> site, also there is a relation between uranium concentrations</w:t>
            </w:r>
            <w:r w:rsidR="00C05066">
              <w:rPr>
                <w:rFonts w:asciiTheme="majorBidi" w:hAnsiTheme="majorBidi" w:cstheme="majorBidi"/>
                <w:sz w:val="20"/>
                <w:szCs w:val="20"/>
              </w:rPr>
              <w:t xml:space="preserve"> and the duration of employment</w:t>
            </w:r>
            <w:r w:rsidR="008C7073" w:rsidRPr="008C7073">
              <w:rPr>
                <w:rFonts w:asciiTheme="majorBidi" w:hAnsiTheme="majorBidi" w:cstheme="majorBidi"/>
                <w:sz w:val="20"/>
                <w:szCs w:val="20"/>
              </w:rPr>
              <w:t xml:space="preserve">. </w:t>
            </w:r>
            <w:r w:rsidR="00C05066">
              <w:rPr>
                <w:rFonts w:asciiTheme="majorBidi" w:hAnsiTheme="majorBidi" w:cstheme="majorBidi"/>
                <w:sz w:val="20"/>
                <w:szCs w:val="20"/>
              </w:rPr>
              <w:t xml:space="preserve">The study </w:t>
            </w:r>
            <w:r w:rsidR="00C05066" w:rsidRPr="008C7073">
              <w:rPr>
                <w:rFonts w:asciiTheme="majorBidi" w:hAnsiTheme="majorBidi" w:cstheme="majorBidi"/>
                <w:sz w:val="20"/>
                <w:szCs w:val="20"/>
              </w:rPr>
              <w:t>suggests</w:t>
            </w:r>
            <w:r w:rsidR="008C7073" w:rsidRPr="008C7073">
              <w:rPr>
                <w:rFonts w:asciiTheme="majorBidi" w:hAnsiTheme="majorBidi" w:cstheme="majorBidi"/>
                <w:sz w:val="20"/>
                <w:szCs w:val="20"/>
              </w:rPr>
              <w:t xml:space="preserve"> that personnel wear a hazmat suit and also taking oral antioxidants to protect from radiation.</w:t>
            </w:r>
            <w:r w:rsidR="00C05066">
              <w:rPr>
                <w:rFonts w:asciiTheme="majorBidi" w:hAnsiTheme="majorBidi" w:cstheme="majorBidi"/>
                <w:sz w:val="20"/>
                <w:szCs w:val="20"/>
              </w:rPr>
              <w:t xml:space="preserve"> </w:t>
            </w:r>
          </w:p>
        </w:tc>
      </w:tr>
      <w:tr w:rsidR="006458BE" w:rsidTr="00FC7E2A">
        <w:trPr>
          <w:trHeight w:val="1231"/>
          <w:jc w:val="center"/>
        </w:trPr>
        <w:tc>
          <w:tcPr>
            <w:tcW w:w="2802" w:type="dxa"/>
            <w:vMerge w:val="restart"/>
            <w:tcBorders>
              <w:top w:val="single" w:sz="4" w:space="0" w:color="auto"/>
              <w:left w:val="nil"/>
              <w:bottom w:val="single" w:sz="4" w:space="0" w:color="auto"/>
              <w:right w:val="nil"/>
            </w:tcBorders>
          </w:tcPr>
          <w:p w:rsidR="006458BE" w:rsidRPr="007F286F" w:rsidRDefault="006458BE" w:rsidP="00FC7E2A">
            <w:pPr>
              <w:spacing w:before="120" w:after="120"/>
              <w:jc w:val="both"/>
              <w:rPr>
                <w:b/>
                <w:i/>
              </w:rPr>
            </w:pPr>
            <w:r w:rsidRPr="007F286F">
              <w:rPr>
                <w:b/>
                <w:i/>
              </w:rPr>
              <w:t>Keyword</w:t>
            </w:r>
            <w:r>
              <w:rPr>
                <w:b/>
                <w:i/>
              </w:rPr>
              <w:t>s</w:t>
            </w:r>
            <w:r w:rsidRPr="007F286F">
              <w:rPr>
                <w:b/>
                <w:i/>
              </w:rPr>
              <w:t>:</w:t>
            </w:r>
          </w:p>
          <w:p w:rsidR="006458BE" w:rsidRDefault="008C7073" w:rsidP="00FC7E2A">
            <w:pPr>
              <w:jc w:val="both"/>
            </w:pPr>
            <w:r>
              <w:t>Uranium Concentration</w:t>
            </w:r>
            <w:r w:rsidR="00C05066">
              <w:t xml:space="preserve">, </w:t>
            </w:r>
          </w:p>
          <w:p w:rsidR="006458BE" w:rsidRDefault="00C05066" w:rsidP="00FC7E2A">
            <w:pPr>
              <w:jc w:val="both"/>
            </w:pPr>
            <w:r>
              <w:t>Human B</w:t>
            </w:r>
            <w:r w:rsidR="0057581A">
              <w:t>lood</w:t>
            </w:r>
            <w:r>
              <w:t xml:space="preserve">, </w:t>
            </w:r>
          </w:p>
          <w:p w:rsidR="006458BE" w:rsidRDefault="00C05066" w:rsidP="00FC7E2A">
            <w:pPr>
              <w:jc w:val="both"/>
            </w:pPr>
            <w:r>
              <w:t>CR-39 D</w:t>
            </w:r>
            <w:r w:rsidR="0057581A">
              <w:t>etector</w:t>
            </w:r>
            <w:r>
              <w:t xml:space="preserve">, </w:t>
            </w:r>
          </w:p>
          <w:p w:rsidR="006458BE" w:rsidRDefault="00C05066" w:rsidP="00FC7E2A">
            <w:pPr>
              <w:jc w:val="both"/>
            </w:pPr>
            <w:r>
              <w:t>Radio-T</w:t>
            </w:r>
            <w:r w:rsidR="0057581A">
              <w:t>oxicological</w:t>
            </w:r>
            <w:r>
              <w:t xml:space="preserve">, </w:t>
            </w:r>
          </w:p>
          <w:p w:rsidR="006458BE" w:rsidRDefault="00C05066" w:rsidP="00FC7E2A">
            <w:pPr>
              <w:jc w:val="both"/>
              <w:rPr>
                <w:bCs/>
                <w:iCs/>
              </w:rPr>
            </w:pPr>
            <w:proofErr w:type="spellStart"/>
            <w:r>
              <w:rPr>
                <w:bCs/>
                <w:iCs/>
              </w:rPr>
              <w:t>Tuwaitha</w:t>
            </w:r>
            <w:proofErr w:type="spellEnd"/>
            <w:r>
              <w:rPr>
                <w:bCs/>
                <w:iCs/>
              </w:rPr>
              <w:t xml:space="preserve"> Nuclear S</w:t>
            </w:r>
            <w:r w:rsidR="0057581A">
              <w:rPr>
                <w:bCs/>
                <w:iCs/>
              </w:rPr>
              <w:t>ite</w:t>
            </w:r>
            <w:r>
              <w:rPr>
                <w:bCs/>
                <w:iCs/>
              </w:rPr>
              <w:t xml:space="preserve"> </w:t>
            </w:r>
          </w:p>
          <w:p w:rsidR="00C05066" w:rsidRPr="0057581A" w:rsidRDefault="00C05066" w:rsidP="00FC7E2A">
            <w:pPr>
              <w:jc w:val="both"/>
              <w:rPr>
                <w:bCs/>
                <w:iCs/>
              </w:rPr>
            </w:pPr>
          </w:p>
        </w:tc>
        <w:tc>
          <w:tcPr>
            <w:tcW w:w="283" w:type="dxa"/>
            <w:vMerge/>
            <w:tcBorders>
              <w:top w:val="nil"/>
              <w:left w:val="nil"/>
              <w:bottom w:val="nil"/>
              <w:right w:val="nil"/>
            </w:tcBorders>
          </w:tcPr>
          <w:p w:rsidR="006458BE" w:rsidRDefault="006458BE" w:rsidP="00FC7E2A">
            <w:pPr>
              <w:spacing w:before="120"/>
              <w:jc w:val="both"/>
            </w:pPr>
          </w:p>
        </w:tc>
        <w:tc>
          <w:tcPr>
            <w:tcW w:w="5812" w:type="dxa"/>
            <w:vMerge/>
            <w:tcBorders>
              <w:top w:val="nil"/>
              <w:left w:val="nil"/>
              <w:bottom w:val="nil"/>
              <w:right w:val="nil"/>
            </w:tcBorders>
          </w:tcPr>
          <w:p w:rsidR="006458BE" w:rsidRPr="00957C11" w:rsidRDefault="006458BE" w:rsidP="00FC7E2A">
            <w:pPr>
              <w:spacing w:before="120"/>
              <w:jc w:val="both"/>
              <w:rPr>
                <w:iCs/>
                <w:color w:val="000000"/>
                <w:sz w:val="18"/>
                <w:szCs w:val="18"/>
              </w:rPr>
            </w:pPr>
          </w:p>
        </w:tc>
      </w:tr>
      <w:tr w:rsidR="006458BE" w:rsidTr="00FC7E2A">
        <w:trPr>
          <w:trHeight w:val="70"/>
          <w:jc w:val="center"/>
        </w:trPr>
        <w:tc>
          <w:tcPr>
            <w:tcW w:w="2802" w:type="dxa"/>
            <w:vMerge/>
            <w:tcBorders>
              <w:top w:val="single" w:sz="4" w:space="0" w:color="auto"/>
              <w:left w:val="nil"/>
              <w:bottom w:val="single" w:sz="4" w:space="0" w:color="auto"/>
              <w:right w:val="nil"/>
            </w:tcBorders>
          </w:tcPr>
          <w:p w:rsidR="006458BE" w:rsidRPr="007F286F" w:rsidRDefault="006458BE" w:rsidP="00FC7E2A">
            <w:pPr>
              <w:spacing w:before="120" w:after="120"/>
              <w:jc w:val="both"/>
              <w:rPr>
                <w:b/>
                <w:i/>
              </w:rPr>
            </w:pPr>
          </w:p>
        </w:tc>
        <w:tc>
          <w:tcPr>
            <w:tcW w:w="283" w:type="dxa"/>
            <w:vMerge/>
            <w:tcBorders>
              <w:top w:val="nil"/>
              <w:left w:val="nil"/>
              <w:bottom w:val="nil"/>
              <w:right w:val="nil"/>
            </w:tcBorders>
          </w:tcPr>
          <w:p w:rsidR="006458BE" w:rsidRDefault="006458BE" w:rsidP="00FC7E2A">
            <w:pPr>
              <w:spacing w:before="120"/>
              <w:jc w:val="both"/>
            </w:pPr>
          </w:p>
        </w:tc>
        <w:tc>
          <w:tcPr>
            <w:tcW w:w="5812" w:type="dxa"/>
            <w:tcBorders>
              <w:top w:val="nil"/>
              <w:left w:val="nil"/>
              <w:bottom w:val="single" w:sz="4" w:space="0" w:color="auto"/>
              <w:right w:val="nil"/>
            </w:tcBorders>
          </w:tcPr>
          <w:p w:rsidR="006458BE" w:rsidRPr="00C05066" w:rsidRDefault="006458BE" w:rsidP="00C05066">
            <w:pPr>
              <w:spacing w:before="120" w:after="120"/>
              <w:rPr>
                <w:color w:val="000000"/>
                <w:sz w:val="18"/>
                <w:szCs w:val="18"/>
              </w:rPr>
            </w:pPr>
          </w:p>
        </w:tc>
      </w:tr>
      <w:tr w:rsidR="006458BE" w:rsidTr="00FC7E2A">
        <w:trPr>
          <w:jc w:val="center"/>
        </w:trPr>
        <w:tc>
          <w:tcPr>
            <w:tcW w:w="8897" w:type="dxa"/>
            <w:gridSpan w:val="3"/>
            <w:tcBorders>
              <w:top w:val="nil"/>
              <w:left w:val="nil"/>
              <w:bottom w:val="double" w:sz="4" w:space="0" w:color="auto"/>
              <w:right w:val="nil"/>
            </w:tcBorders>
          </w:tcPr>
          <w:p w:rsidR="006458BE" w:rsidRPr="007F286F" w:rsidRDefault="006458BE" w:rsidP="00FC7E2A">
            <w:pPr>
              <w:spacing w:before="120" w:after="120"/>
              <w:rPr>
                <w:b/>
                <w:i/>
              </w:rPr>
            </w:pPr>
            <w:r w:rsidRPr="007F286F">
              <w:rPr>
                <w:b/>
                <w:i/>
              </w:rPr>
              <w:t>Corresponding Author:</w:t>
            </w:r>
          </w:p>
          <w:p w:rsidR="006458BE" w:rsidRPr="00B9642F" w:rsidRDefault="00C05066" w:rsidP="00FC7E2A">
            <w:pPr>
              <w:spacing w:after="120"/>
            </w:pPr>
            <w:r>
              <w:t xml:space="preserve">* </w:t>
            </w:r>
            <w:r w:rsidR="0057581A">
              <w:t>Lina S. Al-</w:t>
            </w:r>
            <w:proofErr w:type="spellStart"/>
            <w:r w:rsidR="0057581A">
              <w:t>Jameel</w:t>
            </w:r>
            <w:proofErr w:type="spellEnd"/>
            <w:r w:rsidR="0057581A">
              <w:br/>
              <w:t>National Diabetes Center,</w:t>
            </w:r>
            <w:r w:rsidR="00AB332B">
              <w:t xml:space="preserve"> </w:t>
            </w:r>
            <w:proofErr w:type="spellStart"/>
            <w:r w:rsidR="0057581A">
              <w:t>Mustansiriyah</w:t>
            </w:r>
            <w:proofErr w:type="spellEnd"/>
            <w:r w:rsidR="00AB332B">
              <w:t>, University,</w:t>
            </w:r>
            <w:r w:rsidR="0057581A">
              <w:t xml:space="preserve"> </w:t>
            </w:r>
            <w:r>
              <w:t>Baghdad, Iraq</w:t>
            </w:r>
            <w:r>
              <w:br/>
              <w:t xml:space="preserve">Email: </w:t>
            </w:r>
            <w:hyperlink r:id="rId9" w:history="1">
              <w:r w:rsidRPr="00A637D9">
                <w:rPr>
                  <w:rStyle w:val="Hyperlink"/>
                </w:rPr>
                <w:t>linaaljameel@uomustansiriyah.edu.iq</w:t>
              </w:r>
            </w:hyperlink>
            <w:r>
              <w:t xml:space="preserve"> </w:t>
            </w:r>
          </w:p>
        </w:tc>
      </w:tr>
    </w:tbl>
    <w:p w:rsidR="006458BE" w:rsidRPr="00AF7418" w:rsidRDefault="006458BE" w:rsidP="006458BE">
      <w:pPr>
        <w:jc w:val="both"/>
        <w:rPr>
          <w:sz w:val="12"/>
          <w:szCs w:val="12"/>
        </w:rPr>
      </w:pPr>
    </w:p>
    <w:p w:rsidR="006458BE" w:rsidRPr="00AF7418" w:rsidRDefault="006458BE" w:rsidP="006458BE">
      <w:pPr>
        <w:jc w:val="both"/>
        <w:rPr>
          <w:sz w:val="12"/>
          <w:szCs w:val="12"/>
        </w:rPr>
      </w:pPr>
    </w:p>
    <w:p w:rsidR="006458BE" w:rsidRPr="00AF7418" w:rsidRDefault="00AF7418" w:rsidP="00AF7418">
      <w:pPr>
        <w:tabs>
          <w:tab w:val="left" w:pos="426"/>
        </w:tabs>
        <w:rPr>
          <w:b/>
          <w:bCs/>
          <w:sz w:val="22"/>
          <w:szCs w:val="22"/>
          <w:lang w:val="id-ID"/>
        </w:rPr>
      </w:pPr>
      <w:r w:rsidRPr="00AF7418">
        <w:rPr>
          <w:b/>
          <w:bCs/>
          <w:sz w:val="22"/>
          <w:szCs w:val="22"/>
          <w:lang w:val="en-GB"/>
        </w:rPr>
        <w:t xml:space="preserve">1- </w:t>
      </w:r>
      <w:r w:rsidR="006458BE" w:rsidRPr="00AF7418">
        <w:rPr>
          <w:b/>
          <w:bCs/>
          <w:sz w:val="22"/>
          <w:szCs w:val="22"/>
          <w:lang w:val="id-ID"/>
        </w:rPr>
        <w:t>INTRODUCTION</w:t>
      </w:r>
      <w:r w:rsidRPr="00AF7418">
        <w:rPr>
          <w:b/>
          <w:bCs/>
          <w:sz w:val="22"/>
          <w:szCs w:val="22"/>
        </w:rPr>
        <w:t xml:space="preserve"> </w:t>
      </w:r>
    </w:p>
    <w:p w:rsidR="00AB332B" w:rsidRPr="00AF7418" w:rsidRDefault="00AB332B" w:rsidP="00AF7418">
      <w:pPr>
        <w:tabs>
          <w:tab w:val="left" w:pos="426"/>
        </w:tabs>
        <w:rPr>
          <w:b/>
          <w:bCs/>
          <w:sz w:val="12"/>
          <w:szCs w:val="12"/>
        </w:rPr>
      </w:pPr>
    </w:p>
    <w:p w:rsidR="00AB332B" w:rsidRPr="00113690" w:rsidRDefault="00AB332B" w:rsidP="00EE1608">
      <w:pPr>
        <w:pStyle w:val="NormalWeb"/>
        <w:jc w:val="lowKashida"/>
        <w:rPr>
          <w:rFonts w:asciiTheme="majorBidi" w:hAnsiTheme="majorBidi" w:cstheme="majorBidi"/>
          <w:color w:val="0E101A"/>
          <w:sz w:val="20"/>
          <w:szCs w:val="20"/>
          <w:lang w:val="en-GB"/>
        </w:rPr>
      </w:pPr>
      <w:r w:rsidRPr="00FA7042">
        <w:rPr>
          <w:sz w:val="20"/>
          <w:szCs w:val="20"/>
        </w:rPr>
        <w:t>Rad</w:t>
      </w:r>
      <w:r w:rsidR="00AF7418">
        <w:rPr>
          <w:sz w:val="20"/>
          <w:szCs w:val="20"/>
        </w:rPr>
        <w:t>iation contamination refers to </w:t>
      </w:r>
      <w:r w:rsidRPr="00FA7042">
        <w:rPr>
          <w:sz w:val="20"/>
          <w:szCs w:val="20"/>
        </w:rPr>
        <w:t>the release of radioactive substances into the environment, which adversely impacts both human health and wildlife. Such contamination can originate from natural sources, including primordial and cosmogenic radionuclides, as well as from anthropogenic activities, which encompass the disposal of radioactive waste, accidental discharges of radioactive materials, regulated emissions from nuclear power facilities</w:t>
      </w:r>
      <w:r w:rsidRPr="00FA7042">
        <w:rPr>
          <w:rStyle w:val="Strong"/>
          <w:b w:val="0"/>
          <w:bCs w:val="0"/>
          <w:color w:val="0E101A"/>
          <w:sz w:val="20"/>
          <w:szCs w:val="20"/>
        </w:rPr>
        <w:t>,</w:t>
      </w:r>
      <w:r>
        <w:rPr>
          <w:rStyle w:val="Strong"/>
          <w:b w:val="0"/>
          <w:bCs w:val="0"/>
          <w:color w:val="0E101A"/>
          <w:sz w:val="20"/>
          <w:szCs w:val="20"/>
        </w:rPr>
        <w:t xml:space="preserve"> </w:t>
      </w:r>
      <w:r w:rsidRPr="00FA7042">
        <w:rPr>
          <w:rStyle w:val="Strong"/>
          <w:b w:val="0"/>
          <w:bCs w:val="0"/>
          <w:color w:val="0E101A"/>
          <w:sz w:val="20"/>
          <w:szCs w:val="20"/>
        </w:rPr>
        <w:t>and</w:t>
      </w:r>
      <w:r w:rsidRPr="00FA7042">
        <w:rPr>
          <w:rStyle w:val="Strong"/>
          <w:color w:val="0E101A"/>
          <w:sz w:val="20"/>
          <w:szCs w:val="20"/>
        </w:rPr>
        <w:t xml:space="preserve"> </w:t>
      </w:r>
      <w:r w:rsidRPr="00FA7042">
        <w:rPr>
          <w:sz w:val="20"/>
          <w:szCs w:val="20"/>
        </w:rPr>
        <w:t>inadvertent discharges of radioactive materials [</w:t>
      </w:r>
      <w:r w:rsidR="00AF7418">
        <w:rPr>
          <w:sz w:val="20"/>
          <w:szCs w:val="20"/>
        </w:rPr>
        <w:t xml:space="preserve">1, </w:t>
      </w:r>
      <w:r w:rsidRPr="00AF7418">
        <w:rPr>
          <w:sz w:val="20"/>
          <w:szCs w:val="20"/>
        </w:rPr>
        <w:t>3</w:t>
      </w:r>
      <w:r w:rsidRPr="00FA7042">
        <w:rPr>
          <w:sz w:val="20"/>
          <w:szCs w:val="20"/>
        </w:rPr>
        <w:t>]</w:t>
      </w:r>
      <w:r w:rsidRPr="00FA7042">
        <w:rPr>
          <w:rStyle w:val="Strong"/>
          <w:color w:val="0E101A"/>
          <w:sz w:val="20"/>
          <w:szCs w:val="20"/>
        </w:rPr>
        <w:t>.</w:t>
      </w:r>
      <w:r w:rsidR="00AF7418">
        <w:rPr>
          <w:rStyle w:val="Strong"/>
          <w:color w:val="0E101A"/>
          <w:sz w:val="20"/>
          <w:szCs w:val="20"/>
        </w:rPr>
        <w:t xml:space="preserve"> </w:t>
      </w:r>
      <w:r w:rsidRPr="00FA7042">
        <w:rPr>
          <w:sz w:val="20"/>
          <w:szCs w:val="20"/>
        </w:rPr>
        <w:t>The analysis of uranium traces in the blood specimens provides a reliable indicator of the concentration of heavy metals within various bodily tissues. Uranium (U) is a dense metallic element within the actinide series. It</w:t>
      </w:r>
      <w:r w:rsidR="009F6B24">
        <w:rPr>
          <w:sz w:val="20"/>
          <w:szCs w:val="20"/>
        </w:rPr>
        <w:t xml:space="preserve"> </w:t>
      </w:r>
      <w:r w:rsidRPr="00FA7042">
        <w:rPr>
          <w:sz w:val="20"/>
          <w:szCs w:val="20"/>
        </w:rPr>
        <w:t>is characterized by its radioactivity and its chemical toxicity</w:t>
      </w:r>
      <w:r w:rsidR="00AF7418">
        <w:rPr>
          <w:sz w:val="20"/>
          <w:szCs w:val="20"/>
        </w:rPr>
        <w:t xml:space="preserve"> </w:t>
      </w:r>
      <w:r w:rsidRPr="00FA7042">
        <w:rPr>
          <w:sz w:val="20"/>
          <w:szCs w:val="20"/>
        </w:rPr>
        <w:t>[</w:t>
      </w:r>
      <w:r w:rsidRPr="00AF7418">
        <w:rPr>
          <w:sz w:val="20"/>
          <w:szCs w:val="20"/>
        </w:rPr>
        <w:t>4,</w:t>
      </w:r>
      <w:r w:rsidR="00AF7418">
        <w:rPr>
          <w:sz w:val="20"/>
          <w:szCs w:val="20"/>
        </w:rPr>
        <w:t xml:space="preserve"> </w:t>
      </w:r>
      <w:r w:rsidRPr="00AF7418">
        <w:rPr>
          <w:sz w:val="20"/>
          <w:szCs w:val="20"/>
        </w:rPr>
        <w:t>5</w:t>
      </w:r>
      <w:r w:rsidRPr="00FA7042">
        <w:rPr>
          <w:sz w:val="20"/>
          <w:szCs w:val="20"/>
        </w:rPr>
        <w:t>].</w:t>
      </w:r>
      <w:r w:rsidR="00EE1608">
        <w:rPr>
          <w:sz w:val="20"/>
          <w:szCs w:val="20"/>
        </w:rPr>
        <w:t xml:space="preserve"> </w:t>
      </w:r>
      <w:r w:rsidRPr="00FA7042">
        <w:rPr>
          <w:sz w:val="20"/>
          <w:szCs w:val="20"/>
        </w:rPr>
        <w:t xml:space="preserve">It is naturally prevalent </w:t>
      </w:r>
      <w:r w:rsidR="009F6B24">
        <w:rPr>
          <w:sz w:val="20"/>
          <w:szCs w:val="20"/>
        </w:rPr>
        <w:t xml:space="preserve">in the atmosphere, hydrosphere, </w:t>
      </w:r>
      <w:r w:rsidRPr="00FA7042">
        <w:rPr>
          <w:sz w:val="20"/>
          <w:szCs w:val="20"/>
        </w:rPr>
        <w:t>lithosphere, and geological formations</w:t>
      </w:r>
      <w:r w:rsidR="00AF7418">
        <w:rPr>
          <w:sz w:val="20"/>
          <w:szCs w:val="20"/>
        </w:rPr>
        <w:t xml:space="preserve"> </w:t>
      </w:r>
      <w:r w:rsidRPr="00FA7042">
        <w:rPr>
          <w:sz w:val="20"/>
          <w:szCs w:val="20"/>
        </w:rPr>
        <w:t>[</w:t>
      </w:r>
      <w:r w:rsidRPr="00AF7418">
        <w:rPr>
          <w:sz w:val="20"/>
          <w:szCs w:val="20"/>
        </w:rPr>
        <w:t>6,</w:t>
      </w:r>
      <w:r w:rsidR="00AF7418">
        <w:rPr>
          <w:sz w:val="20"/>
          <w:szCs w:val="20"/>
        </w:rPr>
        <w:t xml:space="preserve"> </w:t>
      </w:r>
      <w:r w:rsidRPr="00AF7418">
        <w:rPr>
          <w:sz w:val="20"/>
          <w:szCs w:val="20"/>
        </w:rPr>
        <w:t>7</w:t>
      </w:r>
      <w:r w:rsidRPr="00FA7042">
        <w:rPr>
          <w:sz w:val="20"/>
          <w:szCs w:val="20"/>
        </w:rPr>
        <w:t>].</w:t>
      </w:r>
      <w:r w:rsidR="00AF7418">
        <w:rPr>
          <w:sz w:val="20"/>
          <w:szCs w:val="20"/>
        </w:rPr>
        <w:t xml:space="preserve"> </w:t>
      </w:r>
      <w:r w:rsidRPr="00FA7042">
        <w:rPr>
          <w:sz w:val="20"/>
          <w:szCs w:val="20"/>
        </w:rPr>
        <w:t xml:space="preserve">Uranium is one of the most significant contaminants due to its toxicological properties as a heavy metal and its inherent </w:t>
      </w:r>
      <w:r w:rsidRPr="00FA7042">
        <w:rPr>
          <w:sz w:val="20"/>
          <w:szCs w:val="20"/>
        </w:rPr>
        <w:lastRenderedPageBreak/>
        <w:t>radioactivity [</w:t>
      </w:r>
      <w:r w:rsidRPr="00EE1608">
        <w:rPr>
          <w:sz w:val="20"/>
          <w:szCs w:val="20"/>
        </w:rPr>
        <w:t>8</w:t>
      </w:r>
      <w:r w:rsidRPr="00FA7042">
        <w:rPr>
          <w:sz w:val="20"/>
          <w:szCs w:val="20"/>
        </w:rPr>
        <w:t>].The toxicity exhibited via uranium poses a substantial risk to ecological stability and public health [</w:t>
      </w:r>
      <w:r w:rsidRPr="00EE1608">
        <w:rPr>
          <w:sz w:val="20"/>
          <w:szCs w:val="20"/>
        </w:rPr>
        <w:t>9,</w:t>
      </w:r>
      <w:r w:rsidR="00EE1608">
        <w:rPr>
          <w:sz w:val="20"/>
          <w:szCs w:val="20"/>
        </w:rPr>
        <w:t xml:space="preserve"> </w:t>
      </w:r>
      <w:r w:rsidRPr="00EE1608">
        <w:rPr>
          <w:sz w:val="20"/>
          <w:szCs w:val="20"/>
        </w:rPr>
        <w:t>10</w:t>
      </w:r>
      <w:r w:rsidRPr="00FA7042">
        <w:rPr>
          <w:sz w:val="20"/>
          <w:szCs w:val="20"/>
        </w:rPr>
        <w:t>]. Personnel in Al-</w:t>
      </w:r>
      <w:proofErr w:type="spellStart"/>
      <w:r w:rsidRPr="00FA7042">
        <w:rPr>
          <w:sz w:val="20"/>
          <w:szCs w:val="20"/>
        </w:rPr>
        <w:t>Tuwaitha</w:t>
      </w:r>
      <w:proofErr w:type="spellEnd"/>
      <w:r w:rsidRPr="00FA7042">
        <w:rPr>
          <w:sz w:val="20"/>
          <w:szCs w:val="20"/>
        </w:rPr>
        <w:t xml:space="preserve"> site exposure to uranium may occur through various modes of contact, which include dermal exposure, inhalation of dust particles, and entry through contaminated food, water, and injuries. The ingestion and inhalation of uranium-derived dust particles caused the late effect of radio-toxicological hazard [</w:t>
      </w:r>
      <w:r w:rsidRPr="00EE1608">
        <w:rPr>
          <w:sz w:val="20"/>
          <w:szCs w:val="20"/>
        </w:rPr>
        <w:t>11,</w:t>
      </w:r>
      <w:r w:rsidR="00EE1608">
        <w:rPr>
          <w:sz w:val="20"/>
          <w:szCs w:val="20"/>
        </w:rPr>
        <w:t xml:space="preserve"> </w:t>
      </w:r>
      <w:r w:rsidRPr="00EE1608">
        <w:rPr>
          <w:sz w:val="20"/>
          <w:szCs w:val="20"/>
        </w:rPr>
        <w:t>12</w:t>
      </w:r>
      <w:r w:rsidRPr="00FA7042">
        <w:rPr>
          <w:sz w:val="20"/>
          <w:szCs w:val="20"/>
        </w:rPr>
        <w:t>]</w:t>
      </w:r>
      <w:r w:rsidRPr="00FA7042">
        <w:rPr>
          <w:rStyle w:val="Strong"/>
          <w:color w:val="0E101A"/>
          <w:sz w:val="20"/>
          <w:szCs w:val="20"/>
        </w:rPr>
        <w:t>.</w:t>
      </w:r>
      <w:r w:rsidRPr="00FA7042">
        <w:rPr>
          <w:sz w:val="20"/>
          <w:szCs w:val="20"/>
        </w:rPr>
        <w:t xml:space="preserve"> Human and animal studies have established a correlation between oral exposure and inhalation of uranium oxides increased risk</w:t>
      </w:r>
      <w:r w:rsidRPr="00FA7042">
        <w:rPr>
          <w:rStyle w:val="Strong"/>
          <w:color w:val="0E101A"/>
          <w:sz w:val="20"/>
          <w:szCs w:val="20"/>
        </w:rPr>
        <w:t xml:space="preserve"> </w:t>
      </w:r>
      <w:r w:rsidRPr="00FA7042">
        <w:rPr>
          <w:rStyle w:val="Strong"/>
          <w:b w:val="0"/>
          <w:bCs w:val="0"/>
          <w:color w:val="0E101A"/>
          <w:sz w:val="20"/>
          <w:szCs w:val="20"/>
        </w:rPr>
        <w:t>of cancer</w:t>
      </w:r>
      <w:r w:rsidRPr="00FA7042">
        <w:rPr>
          <w:rStyle w:val="Strong"/>
          <w:color w:val="0E101A"/>
          <w:sz w:val="20"/>
          <w:szCs w:val="20"/>
        </w:rPr>
        <w:t xml:space="preserve"> </w:t>
      </w:r>
      <w:r w:rsidRPr="00FA7042">
        <w:rPr>
          <w:sz w:val="20"/>
          <w:szCs w:val="20"/>
        </w:rPr>
        <w:t>as well as developmental malformations [</w:t>
      </w:r>
      <w:r w:rsidRPr="00EE1608">
        <w:rPr>
          <w:sz w:val="20"/>
          <w:szCs w:val="20"/>
        </w:rPr>
        <w:t>13</w:t>
      </w:r>
      <w:r w:rsidRPr="00FA7042">
        <w:rPr>
          <w:sz w:val="20"/>
          <w:szCs w:val="20"/>
        </w:rPr>
        <w:t>]. A study on uranium concentration in some Iraqi companies indicates a high level of uranium concentration in blood samples of Iraqi workers employed in certain government companies. This study assessed the initial level of uranium toxicity in the personnel's blood and the possibility of health problems occurring [</w:t>
      </w:r>
      <w:r w:rsidRPr="00EE1608">
        <w:rPr>
          <w:sz w:val="20"/>
          <w:szCs w:val="20"/>
        </w:rPr>
        <w:t>14</w:t>
      </w:r>
      <w:r w:rsidRPr="00FA7042">
        <w:rPr>
          <w:sz w:val="20"/>
          <w:szCs w:val="20"/>
        </w:rPr>
        <w:t>]. Uranium poses the capacity to traverse both the blood-brain barrier and the placental barrier with relative ease. Many studies have demonstrated a significant association between uranium consumption associated and detrimental clinical consequences, including an elevation in reactive oxygen species, DNA damage, and alterations in gene expression [</w:t>
      </w:r>
      <w:r w:rsidRPr="00062A47">
        <w:rPr>
          <w:sz w:val="20"/>
          <w:szCs w:val="20"/>
        </w:rPr>
        <w:t>15,</w:t>
      </w:r>
      <w:r w:rsidR="00062A47">
        <w:rPr>
          <w:sz w:val="20"/>
          <w:szCs w:val="20"/>
        </w:rPr>
        <w:t xml:space="preserve"> </w:t>
      </w:r>
      <w:r w:rsidRPr="00062A47">
        <w:rPr>
          <w:sz w:val="20"/>
          <w:szCs w:val="20"/>
        </w:rPr>
        <w:t>16</w:t>
      </w:r>
      <w:r w:rsidRPr="00FA7042">
        <w:rPr>
          <w:sz w:val="20"/>
          <w:szCs w:val="20"/>
        </w:rPr>
        <w:t xml:space="preserve">]. Cute toxicity elicits notable manifestations, which encompass weight reduction, cognitive dysfunction, </w:t>
      </w:r>
      <w:proofErr w:type="gramStart"/>
      <w:r w:rsidR="00062A47" w:rsidRPr="00FA7042">
        <w:rPr>
          <w:sz w:val="20"/>
          <w:szCs w:val="20"/>
        </w:rPr>
        <w:t>renal</w:t>
      </w:r>
      <w:proofErr w:type="gramEnd"/>
      <w:r w:rsidRPr="00FA7042">
        <w:rPr>
          <w:sz w:val="20"/>
          <w:szCs w:val="20"/>
        </w:rPr>
        <w:t xml:space="preserve"> impairment, alterations in the reproductive system, carcinogenic implications, and modifications in osseous development. In contrast, the biological ramifications of prolonged exposure to minimal doses remain largely uncharted [</w:t>
      </w:r>
      <w:r w:rsidRPr="00062A47">
        <w:rPr>
          <w:sz w:val="20"/>
          <w:szCs w:val="20"/>
        </w:rPr>
        <w:t>17</w:t>
      </w:r>
      <w:r w:rsidRPr="00FA7042">
        <w:rPr>
          <w:sz w:val="20"/>
          <w:szCs w:val="20"/>
        </w:rPr>
        <w:t>]. Several studies have examined a link between the level of uranium concentration in the human body and cancer rates [</w:t>
      </w:r>
      <w:r w:rsidR="00062A47">
        <w:rPr>
          <w:sz w:val="20"/>
          <w:szCs w:val="20"/>
        </w:rPr>
        <w:t xml:space="preserve">18, </w:t>
      </w:r>
      <w:r w:rsidRPr="00062A47">
        <w:rPr>
          <w:sz w:val="20"/>
          <w:szCs w:val="20"/>
        </w:rPr>
        <w:t>20</w:t>
      </w:r>
      <w:r w:rsidRPr="00FA7042">
        <w:rPr>
          <w:sz w:val="20"/>
          <w:szCs w:val="20"/>
        </w:rPr>
        <w:t>]. Another study observed a rise in cancer cases attributed to the existence of DU in Iraq as a result of the war. In addition, five common types of cancers were iden</w:t>
      </w:r>
      <w:r w:rsidR="00062A47">
        <w:rPr>
          <w:sz w:val="20"/>
          <w:szCs w:val="20"/>
        </w:rPr>
        <w:t>tified, particularly in females</w:t>
      </w:r>
      <w:r w:rsidRPr="00FA7042">
        <w:rPr>
          <w:sz w:val="20"/>
          <w:szCs w:val="20"/>
        </w:rPr>
        <w:t xml:space="preserve"> [</w:t>
      </w:r>
      <w:r w:rsidRPr="00062A47">
        <w:rPr>
          <w:sz w:val="20"/>
          <w:szCs w:val="20"/>
        </w:rPr>
        <w:t>21</w:t>
      </w:r>
      <w:r w:rsidR="00062A47">
        <w:rPr>
          <w:sz w:val="20"/>
          <w:szCs w:val="20"/>
        </w:rPr>
        <w:t xml:space="preserve">]. </w:t>
      </w:r>
      <w:r w:rsidRPr="00FA7042">
        <w:rPr>
          <w:sz w:val="20"/>
          <w:szCs w:val="20"/>
        </w:rPr>
        <w:t>The toxicological properties of uranium are closely associated with its solubility characteristics. Soluble uranium variants are correlated with chemical toxicity and pose significant risks to the respiratory system, being absorbed within several days, while insoluble uranium variants are associated with radiological toxicity and present dangers to renal function, with absorption occurring over durations ranging from months to years [</w:t>
      </w:r>
      <w:r w:rsidRPr="00062A47">
        <w:rPr>
          <w:sz w:val="20"/>
          <w:szCs w:val="20"/>
        </w:rPr>
        <w:t>22,</w:t>
      </w:r>
      <w:r w:rsidR="00062A47">
        <w:rPr>
          <w:sz w:val="20"/>
          <w:szCs w:val="20"/>
        </w:rPr>
        <w:t xml:space="preserve"> </w:t>
      </w:r>
      <w:r w:rsidRPr="00062A47">
        <w:rPr>
          <w:sz w:val="20"/>
          <w:szCs w:val="20"/>
        </w:rPr>
        <w:t>23</w:t>
      </w:r>
      <w:r w:rsidRPr="00FA7042">
        <w:rPr>
          <w:sz w:val="20"/>
          <w:szCs w:val="20"/>
        </w:rPr>
        <w:t>]. Historically,</w:t>
      </w:r>
      <w:r>
        <w:rPr>
          <w:sz w:val="20"/>
          <w:szCs w:val="20"/>
        </w:rPr>
        <w:t xml:space="preserve"> </w:t>
      </w:r>
      <w:r w:rsidRPr="00FA7042">
        <w:rPr>
          <w:sz w:val="20"/>
          <w:szCs w:val="20"/>
        </w:rPr>
        <w:t>Al-</w:t>
      </w:r>
      <w:proofErr w:type="spellStart"/>
      <w:r w:rsidRPr="00FA7042">
        <w:rPr>
          <w:sz w:val="20"/>
          <w:szCs w:val="20"/>
        </w:rPr>
        <w:t>Tuwaitha</w:t>
      </w:r>
      <w:proofErr w:type="spellEnd"/>
      <w:r w:rsidRPr="00FA7042">
        <w:rPr>
          <w:sz w:val="20"/>
          <w:szCs w:val="20"/>
        </w:rPr>
        <w:t xml:space="preserve"> nuclear site has been utilized for nuclear operations and possesses potentially substantial quantities of radioactive waste.</w:t>
      </w:r>
      <w:r>
        <w:rPr>
          <w:sz w:val="20"/>
          <w:szCs w:val="20"/>
        </w:rPr>
        <w:t xml:space="preserve"> </w:t>
      </w:r>
      <w:r w:rsidRPr="00FA7042">
        <w:rPr>
          <w:sz w:val="20"/>
          <w:szCs w:val="20"/>
        </w:rPr>
        <w:t>Personnel at this center are exposed to hazards as they engage in dismantling, removing, and packaging radioactive waste,</w:t>
      </w:r>
      <w:r>
        <w:rPr>
          <w:sz w:val="20"/>
          <w:szCs w:val="20"/>
        </w:rPr>
        <w:t xml:space="preserve"> </w:t>
      </w:r>
      <w:r w:rsidRPr="00FA7042">
        <w:rPr>
          <w:sz w:val="20"/>
          <w:szCs w:val="20"/>
        </w:rPr>
        <w:t>and then wrapping radioactive waste in a thick nylon stratum and stored in a freight container</w:t>
      </w:r>
      <w:r w:rsidRPr="00FA7042">
        <w:rPr>
          <w:rStyle w:val="Strong"/>
          <w:color w:val="0E101A"/>
          <w:sz w:val="20"/>
          <w:szCs w:val="20"/>
        </w:rPr>
        <w:t>.</w:t>
      </w:r>
      <w:r w:rsidRPr="00FA7042">
        <w:rPr>
          <w:sz w:val="20"/>
          <w:szCs w:val="20"/>
        </w:rPr>
        <w:t xml:space="preserve"> The detector was employed to measure the concentration of uranium.</w:t>
      </w:r>
      <w:r>
        <w:rPr>
          <w:sz w:val="20"/>
          <w:szCs w:val="20"/>
        </w:rPr>
        <w:t xml:space="preserve"> </w:t>
      </w:r>
      <w:r w:rsidRPr="00FA7042">
        <w:rPr>
          <w:sz w:val="20"/>
          <w:szCs w:val="20"/>
        </w:rPr>
        <w:t>The fission track method developed via Fleischer [</w:t>
      </w:r>
      <w:r w:rsidRPr="00062A47">
        <w:rPr>
          <w:sz w:val="20"/>
          <w:szCs w:val="20"/>
        </w:rPr>
        <w:t>24</w:t>
      </w:r>
      <w:r w:rsidRPr="00FA7042">
        <w:rPr>
          <w:sz w:val="20"/>
          <w:szCs w:val="20"/>
        </w:rPr>
        <w:t xml:space="preserve">] involves the compression of two films and their subsequent exposure to thermal neutron irradiation to dry the blood. The present study aimed to determine the concentration of uranium in blood samples obtained from personnel at The </w:t>
      </w:r>
      <w:proofErr w:type="spellStart"/>
      <w:r w:rsidRPr="00FA7042">
        <w:rPr>
          <w:sz w:val="20"/>
          <w:szCs w:val="20"/>
        </w:rPr>
        <w:t>Tuwaitha</w:t>
      </w:r>
      <w:proofErr w:type="spellEnd"/>
      <w:r w:rsidRPr="00FA7042">
        <w:rPr>
          <w:sz w:val="20"/>
          <w:szCs w:val="20"/>
        </w:rPr>
        <w:t xml:space="preserve"> center and control groups using the fission track method with</w:t>
      </w:r>
      <w:r w:rsidR="00062A47">
        <w:rPr>
          <w:sz w:val="20"/>
          <w:szCs w:val="20"/>
        </w:rPr>
        <w:t xml:space="preserve"> </w:t>
      </w:r>
      <w:r w:rsidRPr="00FA7042">
        <w:rPr>
          <w:sz w:val="20"/>
          <w:szCs w:val="20"/>
        </w:rPr>
        <w:t>a</w:t>
      </w:r>
      <w:r w:rsidR="00062A47">
        <w:rPr>
          <w:sz w:val="20"/>
          <w:szCs w:val="20"/>
        </w:rPr>
        <w:t xml:space="preserve"> </w:t>
      </w:r>
      <w:r w:rsidRPr="00FA7042">
        <w:rPr>
          <w:sz w:val="20"/>
          <w:szCs w:val="20"/>
        </w:rPr>
        <w:t>CR-39 detector. This technique has proven to be highly effective for measurement of uranium concentrations in human blood.</w:t>
      </w:r>
      <w:r w:rsidR="00113690">
        <w:rPr>
          <w:sz w:val="20"/>
          <w:szCs w:val="20"/>
          <w:lang w:val="en-GB"/>
        </w:rPr>
        <w:t xml:space="preserve"> </w:t>
      </w:r>
    </w:p>
    <w:p w:rsidR="00AB332B" w:rsidRPr="00BA51CB" w:rsidRDefault="00AB332B" w:rsidP="00AB332B">
      <w:pPr>
        <w:pStyle w:val="NormalWeb"/>
        <w:jc w:val="lowKashida"/>
        <w:rPr>
          <w:rFonts w:asciiTheme="majorBidi" w:hAnsiTheme="majorBidi" w:cstheme="majorBidi"/>
          <w:color w:val="0E101A"/>
          <w:sz w:val="12"/>
          <w:szCs w:val="12"/>
        </w:rPr>
      </w:pPr>
    </w:p>
    <w:p w:rsidR="00AB332B" w:rsidRPr="00BA51CB" w:rsidRDefault="00AB332B" w:rsidP="00AB332B">
      <w:pPr>
        <w:pStyle w:val="NormalWeb"/>
        <w:jc w:val="lowKashida"/>
        <w:rPr>
          <w:rFonts w:asciiTheme="majorBidi" w:hAnsiTheme="majorBidi" w:cstheme="majorBidi"/>
          <w:color w:val="0E101A"/>
          <w:sz w:val="12"/>
          <w:szCs w:val="12"/>
        </w:rPr>
      </w:pPr>
    </w:p>
    <w:p w:rsidR="006458BE" w:rsidRPr="00AA7282" w:rsidRDefault="00AA7282" w:rsidP="00BA51CB">
      <w:pPr>
        <w:tabs>
          <w:tab w:val="left" w:pos="426"/>
        </w:tabs>
        <w:rPr>
          <w:b/>
          <w:bCs/>
          <w:sz w:val="22"/>
          <w:szCs w:val="22"/>
          <w:lang w:val="id-ID"/>
        </w:rPr>
      </w:pPr>
      <w:r w:rsidRPr="00AA7282">
        <w:rPr>
          <w:b/>
          <w:bCs/>
          <w:sz w:val="22"/>
          <w:szCs w:val="22"/>
          <w:lang w:val="en-GB"/>
        </w:rPr>
        <w:t xml:space="preserve">2- </w:t>
      </w:r>
      <w:r>
        <w:rPr>
          <w:b/>
          <w:bCs/>
          <w:sz w:val="22"/>
          <w:szCs w:val="22"/>
          <w:lang w:val="en-GB"/>
        </w:rPr>
        <w:t xml:space="preserve">SUPJECTS </w:t>
      </w:r>
      <w:r w:rsidR="008C2438">
        <w:rPr>
          <w:b/>
          <w:bCs/>
          <w:sz w:val="22"/>
          <w:szCs w:val="22"/>
          <w:lang w:val="en-GB"/>
        </w:rPr>
        <w:t>AND</w:t>
      </w:r>
      <w:r>
        <w:rPr>
          <w:b/>
          <w:bCs/>
          <w:sz w:val="22"/>
          <w:szCs w:val="22"/>
          <w:lang w:val="en-GB"/>
        </w:rPr>
        <w:t xml:space="preserve"> </w:t>
      </w:r>
      <w:r w:rsidR="006458BE" w:rsidRPr="00AA7282">
        <w:rPr>
          <w:b/>
          <w:bCs/>
          <w:sz w:val="22"/>
          <w:szCs w:val="22"/>
          <w:lang w:val="id-ID"/>
        </w:rPr>
        <w:t>METHOD</w:t>
      </w:r>
      <w:r>
        <w:rPr>
          <w:b/>
          <w:bCs/>
          <w:sz w:val="22"/>
          <w:szCs w:val="22"/>
          <w:lang w:val="en-GB"/>
        </w:rPr>
        <w:t>S</w:t>
      </w:r>
      <w:r w:rsidR="00BA51CB" w:rsidRPr="00AA7282">
        <w:rPr>
          <w:b/>
          <w:bCs/>
          <w:sz w:val="22"/>
          <w:szCs w:val="22"/>
        </w:rPr>
        <w:t xml:space="preserve"> </w:t>
      </w:r>
    </w:p>
    <w:p w:rsidR="00AA7282" w:rsidRDefault="00AA7282" w:rsidP="00AA7282">
      <w:pPr>
        <w:pStyle w:val="Heading1"/>
        <w:spacing w:before="0"/>
        <w:ind w:left="0"/>
        <w:jc w:val="lowKashida"/>
        <w:rPr>
          <w:rFonts w:ascii="Times New Roman" w:eastAsia="Times New Roman" w:hAnsi="Times New Roman" w:cs="Times New Roman"/>
          <w:b w:val="0"/>
          <w:bCs w:val="0"/>
          <w:noProof/>
          <w:sz w:val="12"/>
          <w:szCs w:val="12"/>
        </w:rPr>
      </w:pPr>
      <w:bookmarkStart w:id="1" w:name="_Hlk78354375"/>
      <w:bookmarkStart w:id="2" w:name="_Hlk78354310"/>
    </w:p>
    <w:p w:rsidR="00AB332B" w:rsidRPr="00FA7042" w:rsidRDefault="005870C7" w:rsidP="00377844">
      <w:pPr>
        <w:pStyle w:val="Heading1"/>
        <w:spacing w:before="0"/>
        <w:ind w:left="0"/>
        <w:jc w:val="lowKashida"/>
        <w:rPr>
          <w:rFonts w:asciiTheme="majorBidi" w:hAnsiTheme="majorBidi" w:cstheme="majorBidi"/>
          <w:b w:val="0"/>
          <w:bCs w:val="0"/>
          <w:sz w:val="20"/>
          <w:szCs w:val="20"/>
        </w:rPr>
      </w:pPr>
      <w:r>
        <w:rPr>
          <w:rFonts w:asciiTheme="majorBidi" w:hAnsiTheme="majorBidi" w:cstheme="majorBidi"/>
          <w:sz w:val="20"/>
          <w:szCs w:val="20"/>
        </w:rPr>
        <w:t>2.1.</w:t>
      </w:r>
      <w:r w:rsidR="00AA7282">
        <w:rPr>
          <w:rFonts w:asciiTheme="majorBidi" w:hAnsiTheme="majorBidi" w:cstheme="majorBidi"/>
          <w:sz w:val="20"/>
          <w:szCs w:val="20"/>
        </w:rPr>
        <w:t xml:space="preserve"> </w:t>
      </w:r>
      <w:r w:rsidR="00AB332B" w:rsidRPr="00FA7042">
        <w:rPr>
          <w:rFonts w:asciiTheme="majorBidi" w:hAnsiTheme="majorBidi" w:cstheme="majorBidi"/>
          <w:sz w:val="20"/>
          <w:szCs w:val="20"/>
        </w:rPr>
        <w:t>Study Subjects</w:t>
      </w:r>
      <w:r w:rsidR="00AA7282">
        <w:rPr>
          <w:rFonts w:asciiTheme="majorBidi" w:hAnsiTheme="majorBidi" w:cstheme="majorBidi"/>
          <w:sz w:val="20"/>
          <w:szCs w:val="20"/>
        </w:rPr>
        <w:t xml:space="preserve"> </w:t>
      </w:r>
    </w:p>
    <w:p w:rsidR="00377844" w:rsidRPr="00377844" w:rsidRDefault="00377844" w:rsidP="00377844">
      <w:pPr>
        <w:pStyle w:val="Heading1"/>
        <w:spacing w:before="0"/>
        <w:ind w:left="0"/>
        <w:jc w:val="lowKashida"/>
        <w:rPr>
          <w:rFonts w:asciiTheme="majorBidi" w:hAnsiTheme="majorBidi" w:cstheme="majorBidi"/>
          <w:b w:val="0"/>
          <w:bCs w:val="0"/>
          <w:sz w:val="8"/>
          <w:szCs w:val="8"/>
        </w:rPr>
      </w:pPr>
    </w:p>
    <w:p w:rsidR="00AB332B" w:rsidRPr="00FA7042" w:rsidRDefault="00AB332B" w:rsidP="00F47AB2">
      <w:pPr>
        <w:pStyle w:val="Heading1"/>
        <w:spacing w:before="0"/>
        <w:ind w:left="0"/>
        <w:jc w:val="lowKashida"/>
        <w:rPr>
          <w:rFonts w:asciiTheme="majorBidi" w:hAnsiTheme="majorBidi" w:cstheme="majorBidi"/>
          <w:b w:val="0"/>
          <w:bCs w:val="0"/>
          <w:sz w:val="20"/>
          <w:szCs w:val="20"/>
        </w:rPr>
      </w:pPr>
      <w:r w:rsidRPr="00FA7042">
        <w:rPr>
          <w:rFonts w:asciiTheme="majorBidi" w:hAnsiTheme="majorBidi" w:cstheme="majorBidi"/>
          <w:b w:val="0"/>
          <w:bCs w:val="0"/>
          <w:sz w:val="20"/>
          <w:szCs w:val="20"/>
        </w:rPr>
        <w:t>Two distinct directorates: the directorate of the management and treatment of radioactive waste and the decommissioning directorate, where in personnel are exposed to radioactive element such as uranium  as they engage in dismantling, removing, and packaging radioactive waste and then wrapping radioactive waste in a thick nylon stratum and stored in a freight container were studied; all individuals assigned to these sectors consented to participate in the study .A total of 36 personnel with age ranging (28-63yars) ,18 personnel from the directorate of the management and treatment of radioactive waste and 18 personnel from the decommissioning directorate. Pe</w:t>
      </w:r>
      <w:r w:rsidR="008B421D">
        <w:rPr>
          <w:rFonts w:asciiTheme="majorBidi" w:hAnsiTheme="majorBidi" w:cstheme="majorBidi"/>
          <w:b w:val="0"/>
          <w:bCs w:val="0"/>
          <w:sz w:val="20"/>
          <w:szCs w:val="20"/>
        </w:rPr>
        <w:t>rsonnel divided into two groups</w:t>
      </w:r>
      <w:r w:rsidR="00F47AB2">
        <w:rPr>
          <w:rFonts w:asciiTheme="majorBidi" w:hAnsiTheme="majorBidi" w:cstheme="majorBidi"/>
          <w:b w:val="0"/>
          <w:bCs w:val="0"/>
          <w:sz w:val="20"/>
          <w:szCs w:val="20"/>
        </w:rPr>
        <w:t xml:space="preserve">: </w:t>
      </w:r>
      <w:r w:rsidRPr="00FA7042">
        <w:rPr>
          <w:rFonts w:asciiTheme="majorBidi" w:hAnsiTheme="majorBidi" w:cstheme="majorBidi"/>
          <w:b w:val="0"/>
          <w:bCs w:val="0"/>
          <w:sz w:val="20"/>
          <w:szCs w:val="20"/>
        </w:rPr>
        <w:t>8 personnel lacking protective measures and 28 personnel utilizing protective equipment,</w:t>
      </w:r>
      <w:r w:rsidR="00F47AB2">
        <w:rPr>
          <w:rFonts w:asciiTheme="majorBidi" w:hAnsiTheme="majorBidi" w:cstheme="majorBidi"/>
          <w:b w:val="0"/>
          <w:bCs w:val="0"/>
          <w:sz w:val="20"/>
          <w:szCs w:val="20"/>
        </w:rPr>
        <w:t xml:space="preserve"> </w:t>
      </w:r>
      <w:r w:rsidRPr="00FA7042">
        <w:rPr>
          <w:rFonts w:asciiTheme="majorBidi" w:hAnsiTheme="majorBidi" w:cstheme="majorBidi"/>
          <w:b w:val="0"/>
          <w:bCs w:val="0"/>
          <w:sz w:val="20"/>
          <w:szCs w:val="20"/>
        </w:rPr>
        <w:t xml:space="preserve">who reside near The </w:t>
      </w:r>
      <w:proofErr w:type="spellStart"/>
      <w:r w:rsidRPr="00FA7042">
        <w:rPr>
          <w:rFonts w:asciiTheme="majorBidi" w:hAnsiTheme="majorBidi" w:cstheme="majorBidi"/>
          <w:b w:val="0"/>
          <w:bCs w:val="0"/>
          <w:sz w:val="20"/>
          <w:szCs w:val="20"/>
        </w:rPr>
        <w:t>Tuwaitha</w:t>
      </w:r>
      <w:proofErr w:type="spellEnd"/>
      <w:r w:rsidRPr="00FA7042">
        <w:rPr>
          <w:rFonts w:asciiTheme="majorBidi" w:hAnsiTheme="majorBidi" w:cstheme="majorBidi"/>
          <w:b w:val="0"/>
          <w:bCs w:val="0"/>
          <w:sz w:val="20"/>
          <w:szCs w:val="20"/>
        </w:rPr>
        <w:t xml:space="preserve"> nuclear </w:t>
      </w:r>
      <w:r w:rsidR="00F47AB2" w:rsidRPr="00FA7042">
        <w:rPr>
          <w:rFonts w:asciiTheme="majorBidi" w:hAnsiTheme="majorBidi" w:cstheme="majorBidi"/>
          <w:b w:val="0"/>
          <w:bCs w:val="0"/>
          <w:sz w:val="20"/>
          <w:szCs w:val="20"/>
        </w:rPr>
        <w:t>site,</w:t>
      </w:r>
      <w:r w:rsidRPr="00FA7042">
        <w:rPr>
          <w:rFonts w:asciiTheme="majorBidi" w:hAnsiTheme="majorBidi" w:cstheme="majorBidi"/>
          <w:b w:val="0"/>
          <w:bCs w:val="0"/>
          <w:sz w:val="20"/>
          <w:szCs w:val="20"/>
        </w:rPr>
        <w:t xml:space="preserve"> were excluded from the study. The control group consisted of 30 individuals aged between (30-58years) who had no prior occupational exposure to The </w:t>
      </w:r>
      <w:proofErr w:type="spellStart"/>
      <w:r w:rsidRPr="00FA7042">
        <w:rPr>
          <w:rFonts w:asciiTheme="majorBidi" w:hAnsiTheme="majorBidi" w:cstheme="majorBidi"/>
          <w:b w:val="0"/>
          <w:bCs w:val="0"/>
          <w:sz w:val="20"/>
          <w:szCs w:val="20"/>
        </w:rPr>
        <w:t>Tuwaitha</w:t>
      </w:r>
      <w:proofErr w:type="spellEnd"/>
      <w:r w:rsidRPr="00FA7042">
        <w:rPr>
          <w:rFonts w:asciiTheme="majorBidi" w:hAnsiTheme="majorBidi" w:cstheme="majorBidi"/>
          <w:b w:val="0"/>
          <w:bCs w:val="0"/>
          <w:sz w:val="20"/>
          <w:szCs w:val="20"/>
        </w:rPr>
        <w:t xml:space="preserve"> nuclear site.</w:t>
      </w:r>
      <w:r w:rsidR="00F47AB2">
        <w:rPr>
          <w:rFonts w:asciiTheme="majorBidi" w:hAnsiTheme="majorBidi" w:cstheme="majorBidi"/>
          <w:b w:val="0"/>
          <w:bCs w:val="0"/>
          <w:sz w:val="20"/>
          <w:szCs w:val="20"/>
        </w:rPr>
        <w:t xml:space="preserve"> </w:t>
      </w:r>
    </w:p>
    <w:p w:rsidR="00AB332B" w:rsidRPr="00377844" w:rsidRDefault="00AB332B" w:rsidP="00377844">
      <w:pPr>
        <w:pStyle w:val="Heading1"/>
        <w:spacing w:before="0"/>
        <w:ind w:left="0"/>
        <w:jc w:val="lowKashida"/>
        <w:rPr>
          <w:rFonts w:asciiTheme="majorBidi" w:hAnsiTheme="majorBidi" w:cstheme="majorBidi"/>
          <w:sz w:val="12"/>
          <w:szCs w:val="12"/>
        </w:rPr>
      </w:pPr>
    </w:p>
    <w:p w:rsidR="00AB332B" w:rsidRPr="00FA7042" w:rsidRDefault="005870C7" w:rsidP="00377844">
      <w:pPr>
        <w:jc w:val="both"/>
        <w:rPr>
          <w:rFonts w:asciiTheme="majorBidi" w:hAnsiTheme="majorBidi" w:cstheme="majorBidi"/>
          <w:b/>
          <w:bCs/>
          <w:color w:val="0E101A"/>
        </w:rPr>
      </w:pPr>
      <w:r>
        <w:rPr>
          <w:rFonts w:asciiTheme="majorBidi" w:hAnsiTheme="majorBidi" w:cstheme="majorBidi"/>
          <w:b/>
          <w:bCs/>
          <w:color w:val="0E101A"/>
        </w:rPr>
        <w:t>2.2.</w:t>
      </w:r>
      <w:r w:rsidR="00377844">
        <w:rPr>
          <w:rFonts w:asciiTheme="majorBidi" w:hAnsiTheme="majorBidi" w:cstheme="majorBidi"/>
          <w:b/>
          <w:bCs/>
          <w:color w:val="0E101A"/>
        </w:rPr>
        <w:t xml:space="preserve"> </w:t>
      </w:r>
      <w:r w:rsidR="00AB332B" w:rsidRPr="00FA7042">
        <w:rPr>
          <w:rFonts w:asciiTheme="majorBidi" w:hAnsiTheme="majorBidi" w:cstheme="majorBidi"/>
          <w:b/>
          <w:bCs/>
          <w:color w:val="0E101A"/>
        </w:rPr>
        <w:t xml:space="preserve">Measurement </w:t>
      </w:r>
      <w:r w:rsidR="00F47AB2" w:rsidRPr="00FA7042">
        <w:rPr>
          <w:rFonts w:asciiTheme="majorBidi" w:hAnsiTheme="majorBidi" w:cstheme="majorBidi"/>
          <w:b/>
          <w:bCs/>
          <w:color w:val="0E101A"/>
        </w:rPr>
        <w:t>the</w:t>
      </w:r>
      <w:r w:rsidR="00AB332B" w:rsidRPr="00FA7042">
        <w:rPr>
          <w:rFonts w:asciiTheme="majorBidi" w:hAnsiTheme="majorBidi" w:cstheme="majorBidi"/>
          <w:b/>
          <w:bCs/>
          <w:color w:val="0E101A"/>
        </w:rPr>
        <w:t xml:space="preserve"> Concentration of uranium</w:t>
      </w:r>
    </w:p>
    <w:p w:rsidR="00377844" w:rsidRPr="00377844" w:rsidRDefault="00377844" w:rsidP="00377844">
      <w:pPr>
        <w:jc w:val="both"/>
        <w:rPr>
          <w:rFonts w:asciiTheme="majorBidi" w:hAnsiTheme="majorBidi" w:cstheme="majorBidi"/>
          <w:color w:val="0E101A"/>
          <w:sz w:val="8"/>
          <w:szCs w:val="8"/>
        </w:rPr>
      </w:pPr>
    </w:p>
    <w:p w:rsidR="00AB332B" w:rsidRPr="00FA7042" w:rsidRDefault="00AB332B" w:rsidP="00F47AB2">
      <w:pPr>
        <w:jc w:val="both"/>
        <w:rPr>
          <w:rFonts w:asciiTheme="majorBidi" w:hAnsiTheme="majorBidi" w:cstheme="majorBidi"/>
          <w:color w:val="0E101A"/>
        </w:rPr>
      </w:pPr>
      <w:r w:rsidRPr="00FA7042">
        <w:rPr>
          <w:rFonts w:asciiTheme="majorBidi" w:hAnsiTheme="majorBidi" w:cstheme="majorBidi"/>
          <w:color w:val="0E101A"/>
        </w:rPr>
        <w:t>CR-39 (ColumbiaResinNo.3) with a thickness of (250μm) was used in the present study and was manufa</w:t>
      </w:r>
      <w:r w:rsidR="00F47AB2">
        <w:rPr>
          <w:rFonts w:asciiTheme="majorBidi" w:hAnsiTheme="majorBidi" w:cstheme="majorBidi"/>
          <w:color w:val="0E101A"/>
        </w:rPr>
        <w:t xml:space="preserve">ctured by </w:t>
      </w:r>
      <w:proofErr w:type="spellStart"/>
      <w:r w:rsidR="00F47AB2">
        <w:rPr>
          <w:rFonts w:asciiTheme="majorBidi" w:hAnsiTheme="majorBidi" w:cstheme="majorBidi"/>
          <w:color w:val="0E101A"/>
        </w:rPr>
        <w:t>Pershore</w:t>
      </w:r>
      <w:proofErr w:type="spellEnd"/>
      <w:r w:rsidR="00F47AB2">
        <w:rPr>
          <w:rFonts w:asciiTheme="majorBidi" w:hAnsiTheme="majorBidi" w:cstheme="majorBidi"/>
          <w:color w:val="0E101A"/>
        </w:rPr>
        <w:t xml:space="preserve"> </w:t>
      </w:r>
      <w:proofErr w:type="spellStart"/>
      <w:r w:rsidR="00F47AB2">
        <w:rPr>
          <w:rFonts w:asciiTheme="majorBidi" w:hAnsiTheme="majorBidi" w:cstheme="majorBidi"/>
          <w:color w:val="0E101A"/>
        </w:rPr>
        <w:t>Moulding</w:t>
      </w:r>
      <w:proofErr w:type="spellEnd"/>
      <w:r w:rsidR="00F47AB2">
        <w:rPr>
          <w:rFonts w:asciiTheme="majorBidi" w:hAnsiTheme="majorBidi" w:cstheme="majorBidi"/>
          <w:color w:val="0E101A"/>
        </w:rPr>
        <w:t xml:space="preserve"> LTD </w:t>
      </w:r>
      <w:proofErr w:type="gramStart"/>
      <w:r w:rsidR="00F47AB2">
        <w:rPr>
          <w:rFonts w:asciiTheme="majorBidi" w:hAnsiTheme="majorBidi" w:cstheme="majorBidi"/>
          <w:color w:val="0E101A"/>
        </w:rPr>
        <w:t>c</w:t>
      </w:r>
      <w:r w:rsidR="00377844" w:rsidRPr="00FA7042">
        <w:rPr>
          <w:rFonts w:asciiTheme="majorBidi" w:hAnsiTheme="majorBidi" w:cstheme="majorBidi"/>
          <w:color w:val="0E101A"/>
        </w:rPr>
        <w:t>ompany</w:t>
      </w:r>
      <w:proofErr w:type="gramEnd"/>
      <w:r w:rsidR="00F47AB2">
        <w:rPr>
          <w:rFonts w:asciiTheme="majorBidi" w:hAnsiTheme="majorBidi" w:cstheme="majorBidi"/>
          <w:color w:val="0E101A"/>
        </w:rPr>
        <w:t>, United Kingdom w</w:t>
      </w:r>
      <w:r w:rsidR="00F47AB2" w:rsidRPr="00FA7042">
        <w:rPr>
          <w:rFonts w:asciiTheme="majorBidi" w:hAnsiTheme="majorBidi" w:cstheme="majorBidi"/>
          <w:color w:val="0E101A"/>
        </w:rPr>
        <w:t>as</w:t>
      </w:r>
      <w:r w:rsidRPr="00FA7042">
        <w:rPr>
          <w:rFonts w:asciiTheme="majorBidi" w:hAnsiTheme="majorBidi" w:cstheme="majorBidi"/>
          <w:color w:val="0E101A"/>
        </w:rPr>
        <w:t xml:space="preserve"> divided</w:t>
      </w:r>
      <w:r w:rsidR="00F47AB2">
        <w:rPr>
          <w:rFonts w:asciiTheme="majorBidi" w:hAnsiTheme="majorBidi" w:cstheme="majorBidi"/>
          <w:color w:val="0E101A"/>
        </w:rPr>
        <w:t xml:space="preserve"> into 126 small pieces (1x1cm), a </w:t>
      </w:r>
      <w:r w:rsidRPr="00FA7042">
        <w:rPr>
          <w:rFonts w:asciiTheme="majorBidi" w:hAnsiTheme="majorBidi" w:cstheme="majorBidi"/>
          <w:color w:val="0E101A"/>
        </w:rPr>
        <w:t>single drop of blood samples pipetted onto each piece of the detector. The drop of the blood was left to desiccate and then was covered via another piece to create a sandwich configuration, adhered to another using transparent adhesive tape and then coated. The samples were sent to the College of Education of Pure Science (Ibn-Al-</w:t>
      </w:r>
      <w:proofErr w:type="spellStart"/>
      <w:r w:rsidRPr="00FA7042">
        <w:rPr>
          <w:rFonts w:asciiTheme="majorBidi" w:hAnsiTheme="majorBidi" w:cstheme="majorBidi"/>
          <w:color w:val="0E101A"/>
        </w:rPr>
        <w:t>Haitham</w:t>
      </w:r>
      <w:proofErr w:type="spellEnd"/>
      <w:r w:rsidRPr="00FA7042">
        <w:rPr>
          <w:rFonts w:asciiTheme="majorBidi" w:hAnsiTheme="majorBidi" w:cstheme="majorBidi"/>
          <w:color w:val="0E101A"/>
        </w:rPr>
        <w:t>) / physics department, University of Baghdad, to irradiate the sandwich with an Am-Be neutron source encased within paraffin wax, the paraffin wax served the purpose of moderating the energies of fast neutrons to t</w:t>
      </w:r>
      <w:r w:rsidR="00F47AB2">
        <w:rPr>
          <w:rFonts w:asciiTheme="majorBidi" w:hAnsiTheme="majorBidi" w:cstheme="majorBidi"/>
          <w:color w:val="0E101A"/>
        </w:rPr>
        <w:t>hose characteristic of</w:t>
      </w:r>
      <w:r w:rsidR="00377844">
        <w:rPr>
          <w:rFonts w:asciiTheme="majorBidi" w:hAnsiTheme="majorBidi" w:cstheme="majorBidi"/>
          <w:color w:val="0E101A"/>
        </w:rPr>
        <w:t xml:space="preserve"> Thermal </w:t>
      </w:r>
      <w:r w:rsidRPr="00FA7042">
        <w:rPr>
          <w:rFonts w:asciiTheme="majorBidi" w:hAnsiTheme="majorBidi" w:cstheme="majorBidi"/>
          <w:color w:val="0E101A"/>
        </w:rPr>
        <w:t>neutrons. An Am-Be irradiation source irradiated the detector sandwiches at a flux of (5x10³n.cm</w:t>
      </w:r>
      <w:r w:rsidRPr="00FA7042">
        <w:rPr>
          <w:rFonts w:ascii="Cambria Math" w:hAnsi="Cambria Math" w:cs="Cambria Math"/>
          <w:color w:val="0E101A"/>
        </w:rPr>
        <w:t>⁻</w:t>
      </w:r>
      <w:r w:rsidRPr="00FA7042">
        <w:rPr>
          <w:color w:val="0E101A"/>
        </w:rPr>
        <w:t>².s</w:t>
      </w:r>
      <w:r w:rsidRPr="00FA7042">
        <w:rPr>
          <w:rFonts w:ascii="Cambria Math" w:hAnsi="Cambria Math" w:cs="Cambria Math"/>
          <w:color w:val="0E101A"/>
        </w:rPr>
        <w:t>⁻</w:t>
      </w:r>
      <w:r w:rsidRPr="00FA7042">
        <w:rPr>
          <w:color w:val="0E101A"/>
        </w:rPr>
        <w:t>¹) over 7 days to cause latent damage to the CR-3 detectors due to (</w:t>
      </w:r>
      <w:proofErr w:type="spellStart"/>
      <w:r w:rsidRPr="00FA7042">
        <w:rPr>
          <w:color w:val="0E101A"/>
        </w:rPr>
        <w:t>n,f</w:t>
      </w:r>
      <w:proofErr w:type="spellEnd"/>
      <w:r w:rsidRPr="00FA7042">
        <w:rPr>
          <w:color w:val="0E101A"/>
        </w:rPr>
        <w:t>) reaction [</w:t>
      </w:r>
      <w:r w:rsidRPr="00F47AB2">
        <w:t>25</w:t>
      </w:r>
      <w:r w:rsidRPr="00FA7042">
        <w:rPr>
          <w:color w:val="0E101A"/>
        </w:rPr>
        <w:t xml:space="preserve">]. The sandwiches </w:t>
      </w:r>
      <w:r w:rsidRPr="00FA7042">
        <w:rPr>
          <w:rFonts w:asciiTheme="majorBidi" w:hAnsiTheme="majorBidi" w:cstheme="majorBidi"/>
          <w:color w:val="0E101A"/>
        </w:rPr>
        <w:t>of detectors were positioned at a distance of 5cm from the Am-Be neutron source, as illustrated in Figure1 [</w:t>
      </w:r>
      <w:r w:rsidRPr="00F47AB2">
        <w:rPr>
          <w:rFonts w:asciiTheme="majorBidi" w:hAnsiTheme="majorBidi" w:cstheme="majorBidi"/>
        </w:rPr>
        <w:t>26</w:t>
      </w:r>
      <w:r w:rsidRPr="00FA7042">
        <w:rPr>
          <w:rFonts w:asciiTheme="majorBidi" w:hAnsiTheme="majorBidi" w:cstheme="majorBidi"/>
          <w:color w:val="0E101A"/>
        </w:rPr>
        <w:t>]. After CR-39 irradiation, the detector is immersed in an etching solution (</w:t>
      </w:r>
      <w:proofErr w:type="spellStart"/>
      <w:r w:rsidRPr="00FA7042">
        <w:rPr>
          <w:rFonts w:asciiTheme="majorBidi" w:hAnsiTheme="majorBidi" w:cstheme="majorBidi"/>
          <w:color w:val="0E101A"/>
        </w:rPr>
        <w:t>NaOH</w:t>
      </w:r>
      <w:proofErr w:type="spellEnd"/>
      <w:r w:rsidRPr="00FA7042">
        <w:rPr>
          <w:rFonts w:asciiTheme="majorBidi" w:hAnsiTheme="majorBidi" w:cstheme="majorBidi"/>
          <w:color w:val="0E101A"/>
        </w:rPr>
        <w:t xml:space="preserve">) to enhance the clarity of the tracks produced on </w:t>
      </w:r>
      <w:r w:rsidR="00F47AB2">
        <w:rPr>
          <w:rFonts w:asciiTheme="majorBidi" w:hAnsiTheme="majorBidi" w:cstheme="majorBidi"/>
          <w:color w:val="0E101A"/>
        </w:rPr>
        <w:lastRenderedPageBreak/>
        <w:t xml:space="preserve">the </w:t>
      </w:r>
      <w:r w:rsidR="00F47AB2" w:rsidRPr="00FA7042">
        <w:rPr>
          <w:rFonts w:asciiTheme="majorBidi" w:hAnsiTheme="majorBidi" w:cstheme="majorBidi"/>
          <w:color w:val="0E101A"/>
        </w:rPr>
        <w:t>detector;</w:t>
      </w:r>
      <w:r w:rsidRPr="00FA7042">
        <w:rPr>
          <w:rFonts w:asciiTheme="majorBidi" w:hAnsiTheme="majorBidi" w:cstheme="majorBidi"/>
          <w:color w:val="0E101A"/>
        </w:rPr>
        <w:t xml:space="preserve"> the alkali solution was prepared by dissolving 125 grams of sodium hydroxide (</w:t>
      </w:r>
      <w:proofErr w:type="spellStart"/>
      <w:r w:rsidRPr="00FA7042">
        <w:rPr>
          <w:rFonts w:asciiTheme="majorBidi" w:hAnsiTheme="majorBidi" w:cstheme="majorBidi"/>
          <w:color w:val="0E101A"/>
        </w:rPr>
        <w:t>NaOH</w:t>
      </w:r>
      <w:proofErr w:type="spellEnd"/>
      <w:r w:rsidRPr="00FA7042">
        <w:rPr>
          <w:rFonts w:asciiTheme="majorBidi" w:hAnsiTheme="majorBidi" w:cstheme="majorBidi"/>
          <w:color w:val="0E101A"/>
        </w:rPr>
        <w:t xml:space="preserve">) into 500 milliliters of distilled water, resulting in a concentration of 6.25 moles of </w:t>
      </w:r>
      <w:proofErr w:type="spellStart"/>
      <w:r w:rsidRPr="00FA7042">
        <w:rPr>
          <w:rFonts w:asciiTheme="majorBidi" w:hAnsiTheme="majorBidi" w:cstheme="majorBidi"/>
          <w:color w:val="0E101A"/>
        </w:rPr>
        <w:t>NaOH</w:t>
      </w:r>
      <w:proofErr w:type="spellEnd"/>
      <w:r w:rsidRPr="00FA7042">
        <w:rPr>
          <w:rFonts w:asciiTheme="majorBidi" w:hAnsiTheme="majorBidi" w:cstheme="majorBidi"/>
          <w:color w:val="0E101A"/>
        </w:rPr>
        <w:t>. The cylinder containing the solution was securely sealed to prevent vaporization, thereby maintaining the normality of the solution at a constant level. The detectors were immersed in the etching solution for six hours in a water bath maintained at, a temperature of 70°C.</w:t>
      </w:r>
      <w:r w:rsidR="00F47AB2">
        <w:rPr>
          <w:rFonts w:asciiTheme="majorBidi" w:hAnsiTheme="majorBidi" w:cstheme="majorBidi"/>
          <w:color w:val="0E101A"/>
        </w:rPr>
        <w:t xml:space="preserve"> </w:t>
      </w:r>
    </w:p>
    <w:p w:rsidR="00AB332B" w:rsidRPr="00FA7042" w:rsidRDefault="00AA0AA5" w:rsidP="00377844">
      <w:pPr>
        <w:rPr>
          <w:lang w:bidi="ar-IQ"/>
        </w:rPr>
      </w:pPr>
      <w:r w:rsidRPr="00AB332B">
        <w:rPr>
          <w:noProof/>
        </w:rPr>
        <w:drawing>
          <wp:anchor distT="0" distB="0" distL="114300" distR="114300" simplePos="0" relativeHeight="251658240" behindDoc="0" locked="0" layoutInCell="1" allowOverlap="1" wp14:anchorId="3E2AFA86" wp14:editId="11D9CA30">
            <wp:simplePos x="0" y="0"/>
            <wp:positionH relativeFrom="column">
              <wp:posOffset>-38100</wp:posOffset>
            </wp:positionH>
            <wp:positionV relativeFrom="paragraph">
              <wp:posOffset>146050</wp:posOffset>
            </wp:positionV>
            <wp:extent cx="6027420" cy="2849880"/>
            <wp:effectExtent l="0" t="0" r="0" b="7620"/>
            <wp:wrapTopAndBottom/>
            <wp:docPr id="4" name="صورة 8" descr="photo_2025-04-04_17-3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4-04_17-39-13.png"/>
                    <pic:cNvPicPr/>
                  </pic:nvPicPr>
                  <pic:blipFill>
                    <a:blip r:embed="rId10">
                      <a:extLst>
                        <a:ext uri="{28A0092B-C50C-407E-A947-70E740481C1C}">
                          <a14:useLocalDpi xmlns:a14="http://schemas.microsoft.com/office/drawing/2010/main" val="0"/>
                        </a:ext>
                      </a:extLst>
                    </a:blip>
                    <a:stretch>
                      <a:fillRect/>
                    </a:stretch>
                  </pic:blipFill>
                  <pic:spPr>
                    <a:xfrm>
                      <a:off x="0" y="0"/>
                      <a:ext cx="6027420" cy="2849880"/>
                    </a:xfrm>
                    <a:prstGeom prst="rect">
                      <a:avLst/>
                    </a:prstGeom>
                  </pic:spPr>
                </pic:pic>
              </a:graphicData>
            </a:graphic>
            <wp14:sizeRelH relativeFrom="page">
              <wp14:pctWidth>0</wp14:pctWidth>
            </wp14:sizeRelH>
            <wp14:sizeRelV relativeFrom="page">
              <wp14:pctHeight>0</wp14:pctHeight>
            </wp14:sizeRelV>
          </wp:anchor>
        </w:drawing>
      </w:r>
    </w:p>
    <w:p w:rsidR="00AB332B" w:rsidRPr="00FA7042" w:rsidRDefault="00AB332B" w:rsidP="00377844">
      <w:pPr>
        <w:rPr>
          <w:lang w:bidi="ar-IQ"/>
        </w:rPr>
      </w:pPr>
    </w:p>
    <w:p w:rsidR="00AB332B" w:rsidRPr="00FA7042" w:rsidRDefault="00AB332B" w:rsidP="00377844">
      <w:pPr>
        <w:pStyle w:val="NormalWeb"/>
        <w:jc w:val="center"/>
        <w:rPr>
          <w:rFonts w:asciiTheme="majorBidi" w:hAnsiTheme="majorBidi" w:cstheme="majorBidi"/>
          <w:color w:val="0E101A"/>
          <w:sz w:val="20"/>
          <w:szCs w:val="20"/>
          <w:lang w:bidi="ar-IQ"/>
        </w:rPr>
      </w:pPr>
      <w:r w:rsidRPr="00FA7042">
        <w:rPr>
          <w:rFonts w:asciiTheme="majorBidi" w:hAnsiTheme="majorBidi" w:cstheme="majorBidi"/>
          <w:color w:val="0E101A"/>
          <w:sz w:val="20"/>
          <w:szCs w:val="20"/>
          <w:lang w:bidi="ar-IQ"/>
        </w:rPr>
        <w:t>Figure1:</w:t>
      </w:r>
      <w:r w:rsidR="008E07EB">
        <w:rPr>
          <w:rFonts w:asciiTheme="majorBidi" w:hAnsiTheme="majorBidi" w:cstheme="majorBidi"/>
          <w:color w:val="0E101A"/>
          <w:sz w:val="20"/>
          <w:szCs w:val="20"/>
          <w:lang w:bidi="ar-IQ"/>
        </w:rPr>
        <w:t xml:space="preserve"> </w:t>
      </w:r>
      <w:r w:rsidRPr="00FA7042">
        <w:rPr>
          <w:rFonts w:asciiTheme="majorBidi" w:hAnsiTheme="majorBidi" w:cstheme="majorBidi"/>
          <w:sz w:val="20"/>
          <w:szCs w:val="20"/>
        </w:rPr>
        <w:t>The irradiation of the CR-39 detectors and blood samples to the Am-Be source of neutron</w:t>
      </w:r>
      <w:r w:rsidRPr="00FA7042">
        <w:rPr>
          <w:rFonts w:asciiTheme="majorBidi" w:hAnsiTheme="majorBidi" w:cstheme="majorBidi"/>
          <w:color w:val="0E101A"/>
          <w:sz w:val="20"/>
          <w:szCs w:val="20"/>
          <w:lang w:bidi="ar-IQ"/>
        </w:rPr>
        <w:t>.</w:t>
      </w:r>
    </w:p>
    <w:p w:rsidR="00AB332B" w:rsidRPr="001140CF" w:rsidRDefault="00AB332B" w:rsidP="00377844">
      <w:pPr>
        <w:jc w:val="center"/>
        <w:rPr>
          <w:noProof/>
          <w:sz w:val="12"/>
          <w:szCs w:val="12"/>
        </w:rPr>
      </w:pPr>
    </w:p>
    <w:p w:rsidR="00AB332B" w:rsidRPr="00FA7042" w:rsidRDefault="00AB332B" w:rsidP="00377844">
      <w:pPr>
        <w:pStyle w:val="NormalWeb"/>
        <w:jc w:val="lowKashida"/>
        <w:rPr>
          <w:rFonts w:asciiTheme="majorBidi" w:hAnsiTheme="majorBidi" w:cstheme="majorBidi"/>
          <w:color w:val="0E101A"/>
          <w:sz w:val="20"/>
          <w:szCs w:val="20"/>
        </w:rPr>
      </w:pPr>
      <w:r w:rsidRPr="00FA7042">
        <w:rPr>
          <w:rFonts w:asciiTheme="majorBidi" w:hAnsiTheme="majorBidi" w:cstheme="majorBidi"/>
          <w:color w:val="0E101A"/>
          <w:sz w:val="20"/>
          <w:szCs w:val="20"/>
        </w:rPr>
        <w:t>The primary objective of the etching process is to facilitate the visualization of latent tracks induced by irradiation, which can be enhanced through magnification when exposed to sodium hydroxide solution under elevated temperature conditions After the etching procedure, the detector components were rinsed with distilled water,</w:t>
      </w:r>
      <w:r w:rsidR="005870C7">
        <w:rPr>
          <w:rFonts w:asciiTheme="majorBidi" w:hAnsiTheme="majorBidi" w:cstheme="majorBidi"/>
          <w:color w:val="0E101A"/>
          <w:sz w:val="20"/>
          <w:szCs w:val="20"/>
        </w:rPr>
        <w:t xml:space="preserve"> </w:t>
      </w:r>
      <w:r w:rsidRPr="00FA7042">
        <w:rPr>
          <w:rFonts w:asciiTheme="majorBidi" w:hAnsiTheme="majorBidi" w:cstheme="majorBidi"/>
          <w:color w:val="0E101A"/>
          <w:sz w:val="20"/>
          <w:szCs w:val="20"/>
        </w:rPr>
        <w:t>followed by drying and cleaning in preparation for microscopic examination at a magnification of 400 times as shown in figure2.</w:t>
      </w:r>
      <w:r w:rsidR="001140CF">
        <w:rPr>
          <w:rFonts w:asciiTheme="majorBidi" w:hAnsiTheme="majorBidi" w:cstheme="majorBidi"/>
          <w:color w:val="0E101A"/>
          <w:sz w:val="20"/>
          <w:szCs w:val="20"/>
        </w:rPr>
        <w:t xml:space="preserve"> </w:t>
      </w:r>
    </w:p>
    <w:p w:rsidR="00AB332B" w:rsidRPr="001140CF" w:rsidRDefault="00AB332B" w:rsidP="00377844">
      <w:pPr>
        <w:rPr>
          <w:noProof/>
          <w:sz w:val="12"/>
          <w:szCs w:val="12"/>
        </w:rPr>
      </w:pPr>
    </w:p>
    <w:p w:rsidR="00AB332B" w:rsidRPr="001140CF" w:rsidRDefault="00AB332B" w:rsidP="001140CF">
      <w:pPr>
        <w:rPr>
          <w:noProof/>
          <w:sz w:val="12"/>
          <w:szCs w:val="12"/>
        </w:rPr>
      </w:pPr>
    </w:p>
    <w:p w:rsidR="00AB332B" w:rsidRDefault="00AB332B" w:rsidP="00377844">
      <w:pPr>
        <w:pStyle w:val="NormalWeb"/>
        <w:jc w:val="center"/>
        <w:rPr>
          <w:rFonts w:asciiTheme="majorBidi" w:hAnsiTheme="majorBidi" w:cstheme="majorBidi"/>
        </w:rPr>
      </w:pPr>
      <w:r w:rsidRPr="00802392">
        <w:rPr>
          <w:rFonts w:asciiTheme="majorBidi" w:hAnsiTheme="majorBidi" w:cstheme="majorBidi"/>
          <w:noProof/>
        </w:rPr>
        <w:drawing>
          <wp:inline distT="0" distB="0" distL="0" distR="0" wp14:anchorId="26C07A06" wp14:editId="41161278">
            <wp:extent cx="1618364" cy="1977656"/>
            <wp:effectExtent l="19050" t="0" r="886"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8364" cy="1977656"/>
                    </a:xfrm>
                    <a:prstGeom prst="rect">
                      <a:avLst/>
                    </a:prstGeom>
                    <a:noFill/>
                    <a:ln>
                      <a:noFill/>
                    </a:ln>
                  </pic:spPr>
                </pic:pic>
              </a:graphicData>
            </a:graphic>
          </wp:inline>
        </w:drawing>
      </w:r>
      <w:r w:rsidRPr="00802392">
        <w:rPr>
          <w:rFonts w:asciiTheme="majorBidi" w:hAnsiTheme="majorBidi" w:cstheme="majorBidi"/>
          <w:noProof/>
        </w:rPr>
        <w:drawing>
          <wp:inline distT="0" distB="0" distL="0" distR="0" wp14:anchorId="06CF5AB7" wp14:editId="5BD7DF24">
            <wp:extent cx="1543936" cy="1977656"/>
            <wp:effectExtent l="1905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936" cy="1977656"/>
                    </a:xfrm>
                    <a:prstGeom prst="rect">
                      <a:avLst/>
                    </a:prstGeom>
                    <a:noFill/>
                    <a:ln>
                      <a:noFill/>
                    </a:ln>
                  </pic:spPr>
                </pic:pic>
              </a:graphicData>
            </a:graphic>
          </wp:inline>
        </w:drawing>
      </w:r>
      <w:r w:rsidRPr="0096180B">
        <w:rPr>
          <w:rFonts w:asciiTheme="majorBidi" w:hAnsiTheme="majorBidi" w:cstheme="majorBidi"/>
          <w:noProof/>
        </w:rPr>
        <w:drawing>
          <wp:inline distT="0" distB="0" distL="0" distR="0" wp14:anchorId="03985EEB" wp14:editId="077E13FF">
            <wp:extent cx="1724293" cy="1981200"/>
            <wp:effectExtent l="19050" t="0" r="9257"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7147" cy="2018949"/>
                    </a:xfrm>
                    <a:prstGeom prst="rect">
                      <a:avLst/>
                    </a:prstGeom>
                    <a:noFill/>
                    <a:ln>
                      <a:noFill/>
                    </a:ln>
                  </pic:spPr>
                </pic:pic>
              </a:graphicData>
            </a:graphic>
          </wp:inline>
        </w:drawing>
      </w:r>
    </w:p>
    <w:p w:rsidR="00AB332B" w:rsidRDefault="00AB332B" w:rsidP="00377844">
      <w:pPr>
        <w:jc w:val="center"/>
        <w:rPr>
          <w:noProof/>
        </w:rPr>
      </w:pPr>
    </w:p>
    <w:p w:rsidR="00AB332B" w:rsidRPr="00FA7042" w:rsidRDefault="00AB332B" w:rsidP="00377844">
      <w:pPr>
        <w:jc w:val="lowKashida"/>
        <w:rPr>
          <w:rFonts w:asciiTheme="majorBidi" w:hAnsiTheme="majorBidi" w:cstheme="majorBidi"/>
        </w:rPr>
      </w:pPr>
      <w:r w:rsidRPr="00FA7042">
        <w:rPr>
          <w:rFonts w:asciiTheme="majorBidi" w:hAnsiTheme="majorBidi" w:cstheme="majorBidi"/>
          <w:color w:val="0E101A"/>
          <w:lang w:bidi="ar-IQ"/>
        </w:rPr>
        <w:t>Figure2:</w:t>
      </w:r>
      <w:r w:rsidR="001140CF">
        <w:rPr>
          <w:rFonts w:asciiTheme="majorBidi" w:hAnsiTheme="majorBidi" w:cstheme="majorBidi"/>
          <w:color w:val="0E101A"/>
          <w:lang w:bidi="ar-IQ"/>
        </w:rPr>
        <w:t xml:space="preserve"> </w:t>
      </w:r>
      <w:r w:rsidRPr="00FA7042">
        <w:rPr>
          <w:rStyle w:val="Strong"/>
          <w:rFonts w:asciiTheme="majorBidi" w:hAnsiTheme="majorBidi" w:cstheme="majorBidi"/>
          <w:b w:val="0"/>
          <w:bCs w:val="0"/>
          <w:color w:val="0E101A"/>
        </w:rPr>
        <w:t>The tracks formed on CR-39 detectors magnified by a light microscope 400x for personnel and control group</w:t>
      </w:r>
      <w:r w:rsidRPr="00FA7042">
        <w:rPr>
          <w:rStyle w:val="Strong"/>
          <w:rFonts w:asciiTheme="majorBidi" w:hAnsiTheme="majorBidi" w:cstheme="majorBidi"/>
          <w:color w:val="0E101A"/>
        </w:rPr>
        <w:t>.</w:t>
      </w:r>
      <w:r w:rsidR="00CD59DE">
        <w:rPr>
          <w:rStyle w:val="Strong"/>
          <w:rFonts w:asciiTheme="majorBidi" w:hAnsiTheme="majorBidi" w:cstheme="majorBidi"/>
          <w:color w:val="0E101A"/>
        </w:rPr>
        <w:t xml:space="preserve"> </w:t>
      </w:r>
      <w:r w:rsidRPr="00FA7042">
        <w:rPr>
          <w:rFonts w:asciiTheme="majorBidi" w:hAnsiTheme="majorBidi" w:cstheme="majorBidi"/>
          <w:color w:val="0E101A"/>
        </w:rPr>
        <w:t xml:space="preserve">(a) </w:t>
      </w:r>
      <w:proofErr w:type="gramStart"/>
      <w:r w:rsidRPr="00FA7042">
        <w:rPr>
          <w:rFonts w:asciiTheme="majorBidi" w:hAnsiTheme="majorBidi" w:cstheme="majorBidi"/>
        </w:rPr>
        <w:t>personnel</w:t>
      </w:r>
      <w:proofErr w:type="gramEnd"/>
      <w:r w:rsidRPr="00FA7042">
        <w:rPr>
          <w:rFonts w:asciiTheme="majorBidi" w:hAnsiTheme="majorBidi" w:cstheme="majorBidi"/>
        </w:rPr>
        <w:t xml:space="preserve"> lacking protective measures (b) personnel with protective measures (c) control group.</w:t>
      </w:r>
      <w:r w:rsidR="001140CF">
        <w:rPr>
          <w:rFonts w:asciiTheme="majorBidi" w:hAnsiTheme="majorBidi" w:cstheme="majorBidi"/>
        </w:rPr>
        <w:t xml:space="preserve"> </w:t>
      </w:r>
    </w:p>
    <w:p w:rsidR="00AB332B" w:rsidRDefault="00AB332B" w:rsidP="00377844">
      <w:pPr>
        <w:jc w:val="center"/>
        <w:rPr>
          <w:noProof/>
        </w:rPr>
      </w:pPr>
    </w:p>
    <w:p w:rsidR="00AB332B" w:rsidRDefault="00AB332B" w:rsidP="001140CF">
      <w:pPr>
        <w:rPr>
          <w:noProof/>
        </w:rPr>
      </w:pPr>
    </w:p>
    <w:p w:rsidR="001140CF" w:rsidRDefault="001140CF" w:rsidP="001140CF">
      <w:pPr>
        <w:rPr>
          <w:noProof/>
        </w:rPr>
      </w:pPr>
    </w:p>
    <w:p w:rsidR="00AA0AA5" w:rsidRDefault="00AA0AA5" w:rsidP="001140CF">
      <w:pPr>
        <w:rPr>
          <w:noProof/>
        </w:rPr>
      </w:pPr>
    </w:p>
    <w:p w:rsidR="00AA0AA5" w:rsidRDefault="00AA0AA5" w:rsidP="001140CF">
      <w:pPr>
        <w:rPr>
          <w:noProof/>
        </w:rPr>
      </w:pPr>
    </w:p>
    <w:p w:rsidR="00AB332B" w:rsidRPr="00FA7042" w:rsidRDefault="005870C7" w:rsidP="00377844">
      <w:pPr>
        <w:jc w:val="lowKashida"/>
        <w:rPr>
          <w:rFonts w:asciiTheme="majorBidi" w:hAnsiTheme="majorBidi" w:cstheme="majorBidi"/>
          <w:rtl/>
          <w:lang w:bidi="ar-IQ"/>
        </w:rPr>
      </w:pPr>
      <w:r>
        <w:rPr>
          <w:rStyle w:val="Strong"/>
          <w:rFonts w:asciiTheme="majorBidi" w:hAnsiTheme="majorBidi" w:cstheme="majorBidi"/>
          <w:color w:val="0E101A"/>
        </w:rPr>
        <w:lastRenderedPageBreak/>
        <w:t>2.3.</w:t>
      </w:r>
      <w:r w:rsidR="001140CF">
        <w:rPr>
          <w:rStyle w:val="Strong"/>
          <w:rFonts w:asciiTheme="majorBidi" w:hAnsiTheme="majorBidi" w:cstheme="majorBidi"/>
          <w:color w:val="0E101A"/>
        </w:rPr>
        <w:t xml:space="preserve"> </w:t>
      </w:r>
      <w:r w:rsidR="00AB332B" w:rsidRPr="00FA7042">
        <w:rPr>
          <w:rStyle w:val="Strong"/>
          <w:rFonts w:asciiTheme="majorBidi" w:hAnsiTheme="majorBidi" w:cstheme="majorBidi"/>
          <w:color w:val="0E101A"/>
        </w:rPr>
        <w:t>Track Counting and Calculation of the Concentration of Uranium</w:t>
      </w:r>
    </w:p>
    <w:p w:rsidR="001140CF" w:rsidRPr="001140CF" w:rsidRDefault="001140CF" w:rsidP="00377844">
      <w:pPr>
        <w:pStyle w:val="NormalWeb"/>
        <w:rPr>
          <w:rFonts w:asciiTheme="majorBidi" w:hAnsiTheme="majorBidi" w:cstheme="majorBidi"/>
          <w:color w:val="0E101A"/>
          <w:sz w:val="8"/>
          <w:szCs w:val="8"/>
          <w:lang w:bidi="ar-IQ"/>
        </w:rPr>
      </w:pPr>
    </w:p>
    <w:p w:rsidR="00AB332B" w:rsidRDefault="00AB332B" w:rsidP="00377844">
      <w:pPr>
        <w:pStyle w:val="NormalWeb"/>
        <w:rPr>
          <w:rFonts w:asciiTheme="majorBidi" w:hAnsiTheme="majorBidi" w:cstheme="majorBidi"/>
          <w:sz w:val="20"/>
          <w:szCs w:val="20"/>
        </w:rPr>
      </w:pPr>
      <w:r w:rsidRPr="00FA7042">
        <w:rPr>
          <w:rFonts w:asciiTheme="majorBidi" w:hAnsiTheme="majorBidi" w:cstheme="majorBidi"/>
          <w:color w:val="0E101A"/>
          <w:sz w:val="20"/>
          <w:szCs w:val="20"/>
        </w:rPr>
        <w:t>After the enumeration of tracks within each segment of the detectors, the f</w:t>
      </w:r>
      <w:r w:rsidR="00CD3C82">
        <w:rPr>
          <w:rFonts w:asciiTheme="majorBidi" w:hAnsiTheme="majorBidi" w:cstheme="majorBidi"/>
          <w:color w:val="0E101A"/>
          <w:sz w:val="20"/>
          <w:szCs w:val="20"/>
        </w:rPr>
        <w:t>ission track density (</w:t>
      </w:r>
      <w:proofErr w:type="spellStart"/>
      <w:r w:rsidR="00CD3C82">
        <w:rPr>
          <w:rFonts w:asciiTheme="majorBidi" w:hAnsiTheme="majorBidi" w:cstheme="majorBidi"/>
          <w:color w:val="0E101A"/>
          <w:sz w:val="20"/>
          <w:szCs w:val="20"/>
        </w:rPr>
        <w:t>ρx</w:t>
      </w:r>
      <w:proofErr w:type="spellEnd"/>
      <w:r w:rsidR="00CD3C82">
        <w:rPr>
          <w:rFonts w:asciiTheme="majorBidi" w:hAnsiTheme="majorBidi" w:cstheme="majorBidi"/>
          <w:color w:val="0E101A"/>
          <w:sz w:val="20"/>
          <w:szCs w:val="20"/>
        </w:rPr>
        <w:t>) in th</w:t>
      </w:r>
      <w:r w:rsidRPr="00FA7042">
        <w:rPr>
          <w:rFonts w:asciiTheme="majorBidi" w:hAnsiTheme="majorBidi" w:cstheme="majorBidi"/>
          <w:color w:val="0E101A"/>
          <w:sz w:val="20"/>
          <w:szCs w:val="20"/>
        </w:rPr>
        <w:t>e</w:t>
      </w:r>
      <w:r w:rsidR="00CD3C82">
        <w:rPr>
          <w:rFonts w:asciiTheme="majorBidi" w:hAnsiTheme="majorBidi" w:cstheme="majorBidi"/>
          <w:color w:val="0E101A"/>
          <w:sz w:val="20"/>
          <w:szCs w:val="20"/>
        </w:rPr>
        <w:t xml:space="preserve"> </w:t>
      </w:r>
      <w:r w:rsidRPr="00FA7042">
        <w:rPr>
          <w:rFonts w:asciiTheme="majorBidi" w:hAnsiTheme="majorBidi" w:cstheme="majorBidi"/>
          <w:color w:val="0E101A"/>
          <w:sz w:val="20"/>
          <w:szCs w:val="20"/>
        </w:rPr>
        <w:t>samples was calculated</w:t>
      </w:r>
      <w:r w:rsidR="005870C7">
        <w:rPr>
          <w:rFonts w:asciiTheme="majorBidi" w:hAnsiTheme="majorBidi" w:cstheme="majorBidi"/>
          <w:color w:val="0E101A"/>
          <w:sz w:val="20"/>
          <w:szCs w:val="20"/>
        </w:rPr>
        <w:t xml:space="preserve"> </w:t>
      </w:r>
      <w:r w:rsidRPr="00FA7042">
        <w:rPr>
          <w:rFonts w:asciiTheme="majorBidi" w:hAnsiTheme="majorBidi" w:cstheme="majorBidi"/>
          <w:color w:val="0E101A"/>
          <w:sz w:val="20"/>
          <w:szCs w:val="20"/>
        </w:rPr>
        <w:t>by relation:</w:t>
      </w:r>
      <w:r w:rsidR="001140CF">
        <w:rPr>
          <w:rFonts w:asciiTheme="majorBidi" w:hAnsiTheme="majorBidi" w:cstheme="majorBidi"/>
          <w:color w:val="0E101A"/>
          <w:sz w:val="20"/>
          <w:szCs w:val="20"/>
        </w:rPr>
        <w:t xml:space="preserve"> </w:t>
      </w:r>
      <w:r w:rsidRPr="00FA7042">
        <w:rPr>
          <w:rFonts w:asciiTheme="majorBidi" w:hAnsiTheme="majorBidi" w:cstheme="majorBidi"/>
          <w:color w:val="0E101A"/>
          <w:sz w:val="20"/>
          <w:szCs w:val="20"/>
        </w:rPr>
        <w:t>[</w:t>
      </w:r>
      <w:r w:rsidRPr="001140CF">
        <w:rPr>
          <w:rFonts w:asciiTheme="majorBidi" w:hAnsiTheme="majorBidi" w:cstheme="majorBidi"/>
          <w:sz w:val="20"/>
          <w:szCs w:val="20"/>
        </w:rPr>
        <w:t>27</w:t>
      </w:r>
      <w:r w:rsidRPr="00FA7042">
        <w:rPr>
          <w:rFonts w:asciiTheme="majorBidi" w:hAnsiTheme="majorBidi" w:cstheme="majorBidi"/>
          <w:color w:val="0E101A"/>
          <w:sz w:val="20"/>
          <w:szCs w:val="20"/>
        </w:rPr>
        <w:t>].</w:t>
      </w:r>
    </w:p>
    <w:p w:rsidR="005870C7" w:rsidRPr="001140CF" w:rsidRDefault="005870C7" w:rsidP="00377844">
      <w:pPr>
        <w:pStyle w:val="NormalWeb"/>
        <w:rPr>
          <w:rFonts w:asciiTheme="majorBidi" w:hAnsiTheme="majorBidi" w:cstheme="majorBidi"/>
          <w:sz w:val="12"/>
          <w:szCs w:val="12"/>
        </w:rPr>
      </w:pPr>
    </w:p>
    <w:p w:rsidR="00AB332B" w:rsidRPr="00FA7042" w:rsidRDefault="00AB332B" w:rsidP="00377844">
      <w:pPr>
        <w:rPr>
          <w:rFonts w:asciiTheme="majorBidi" w:hAnsiTheme="majorBidi" w:cstheme="majorBidi"/>
        </w:rPr>
      </w:pPr>
      <m:oMath>
        <m:r>
          <m:rPr>
            <m:sty m:val="p"/>
          </m:rPr>
          <w:rPr>
            <w:rFonts w:ascii="Cambria Math" w:hAnsiTheme="majorBidi" w:cstheme="majorBidi"/>
          </w:rPr>
          <m:t>Thedensityoftracks</m:t>
        </m:r>
        <m:d>
          <m:dPr>
            <m:ctrlPr>
              <w:rPr>
                <w:rFonts w:ascii="Cambria Math" w:hAnsiTheme="majorBidi" w:cstheme="majorBidi"/>
              </w:rPr>
            </m:ctrlPr>
          </m:dPr>
          <m:e>
            <m:r>
              <m:rPr>
                <m:sty m:val="p"/>
              </m:rPr>
              <w:rPr>
                <w:rFonts w:ascii="Cambria Math" w:hAnsiTheme="majorBidi" w:cstheme="majorBidi"/>
              </w:rPr>
              <m:t>ρ</m:t>
            </m:r>
            <m:r>
              <m:rPr>
                <m:sty m:val="p"/>
              </m:rPr>
              <w:rPr>
                <w:rFonts w:ascii="Cambria Math" w:hAnsiTheme="majorBidi" w:cstheme="majorBidi"/>
                <w:vertAlign w:val="subscript"/>
              </w:rPr>
              <m:t>x</m:t>
            </m:r>
          </m:e>
        </m:d>
        <m:r>
          <m:rPr>
            <m:sty m:val="p"/>
          </m:rPr>
          <w:rPr>
            <w:rFonts w:ascii="Cambria Math" w:hAnsiTheme="majorBidi" w:cstheme="majorBidi"/>
          </w:rPr>
          <m:t>=</m:t>
        </m:r>
        <m:f>
          <m:fPr>
            <m:ctrlPr>
              <w:rPr>
                <w:rFonts w:ascii="Cambria Math" w:hAnsiTheme="majorBidi" w:cstheme="majorBidi"/>
                <w:iCs/>
              </w:rPr>
            </m:ctrlPr>
          </m:fPr>
          <m:num>
            <m:r>
              <m:rPr>
                <m:sty m:val="p"/>
              </m:rPr>
              <w:rPr>
                <w:rFonts w:ascii="Cambria Math" w:hAnsiTheme="majorBidi" w:cstheme="majorBidi"/>
              </w:rPr>
              <m:t>Averagenumberoftrack</m:t>
            </m:r>
          </m:num>
          <m:den>
            <m:r>
              <m:rPr>
                <m:sty m:val="p"/>
              </m:rPr>
              <w:rPr>
                <w:rFonts w:ascii="Cambria Math" w:hAnsiTheme="majorBidi" w:cstheme="majorBidi"/>
              </w:rPr>
              <m:t>Areaoffieldofview</m:t>
            </m:r>
          </m:den>
        </m:f>
      </m:oMath>
      <w:r w:rsidR="005870C7">
        <w:rPr>
          <w:rFonts w:asciiTheme="majorBidi" w:hAnsiTheme="majorBidi" w:cstheme="majorBidi"/>
        </w:rPr>
        <w:t xml:space="preserve">                                           </w:t>
      </w:r>
      <w:r w:rsidR="001140CF">
        <w:rPr>
          <w:rFonts w:asciiTheme="majorBidi" w:hAnsiTheme="majorBidi" w:cstheme="majorBidi"/>
        </w:rPr>
        <w:t xml:space="preserve">                             (</w:t>
      </w:r>
      <w:r w:rsidR="005870C7">
        <w:rPr>
          <w:rFonts w:asciiTheme="majorBidi" w:hAnsiTheme="majorBidi" w:cstheme="majorBidi"/>
        </w:rPr>
        <w:t>1)</w:t>
      </w:r>
    </w:p>
    <w:p w:rsidR="001140CF" w:rsidRPr="001140CF" w:rsidRDefault="001140CF" w:rsidP="001140CF">
      <w:pPr>
        <w:rPr>
          <w:rFonts w:asciiTheme="majorBidi" w:hAnsiTheme="majorBidi" w:cstheme="majorBidi"/>
          <w:color w:val="0E101A"/>
          <w:sz w:val="12"/>
          <w:szCs w:val="12"/>
        </w:rPr>
      </w:pPr>
    </w:p>
    <w:p w:rsidR="00AB332B" w:rsidRPr="00FA7042" w:rsidRDefault="00AB332B" w:rsidP="001140CF">
      <w:pPr>
        <w:rPr>
          <w:rFonts w:asciiTheme="majorBidi" w:eastAsiaTheme="minorEastAsia" w:hAnsiTheme="majorBidi" w:cstheme="majorBidi"/>
          <w:iCs/>
          <w:lang w:bidi="ar-IQ"/>
        </w:rPr>
      </w:pPr>
      <w:r w:rsidRPr="00FA7042">
        <w:rPr>
          <w:rFonts w:asciiTheme="majorBidi" w:hAnsiTheme="majorBidi" w:cstheme="majorBidi"/>
          <w:color w:val="0E101A"/>
        </w:rPr>
        <w:t>The concentration of uranium was determined by comparing the track densities on the detectors in each sandwich with those of the standard samples, using the following equations.2 and3</w:t>
      </w:r>
      <w:r w:rsidR="001140CF">
        <w:rPr>
          <w:rFonts w:asciiTheme="majorBidi" w:hAnsiTheme="majorBidi" w:cstheme="majorBidi"/>
          <w:color w:val="0E101A"/>
        </w:rPr>
        <w:t xml:space="preserve"> </w:t>
      </w:r>
      <w:r w:rsidRPr="00FA7042">
        <w:rPr>
          <w:rFonts w:asciiTheme="majorBidi" w:hAnsiTheme="majorBidi" w:cstheme="majorBidi"/>
          <w:color w:val="0E101A"/>
        </w:rPr>
        <w:t>[</w:t>
      </w:r>
      <w:r w:rsidRPr="001140CF">
        <w:rPr>
          <w:rFonts w:asciiTheme="majorBidi" w:hAnsiTheme="majorBidi" w:cstheme="majorBidi"/>
        </w:rPr>
        <w:t>28,</w:t>
      </w:r>
      <w:r w:rsidR="001140CF">
        <w:rPr>
          <w:rFonts w:asciiTheme="majorBidi" w:hAnsiTheme="majorBidi" w:cstheme="majorBidi"/>
        </w:rPr>
        <w:t xml:space="preserve"> </w:t>
      </w:r>
      <w:r w:rsidRPr="001140CF">
        <w:rPr>
          <w:rFonts w:asciiTheme="majorBidi" w:hAnsiTheme="majorBidi" w:cstheme="majorBidi"/>
        </w:rPr>
        <w:t>29</w:t>
      </w:r>
      <w:r w:rsidRPr="00FA7042">
        <w:rPr>
          <w:rFonts w:asciiTheme="majorBidi" w:hAnsiTheme="majorBidi" w:cstheme="majorBidi"/>
          <w:color w:val="0E101A"/>
        </w:rPr>
        <w:t>].</w:t>
      </w:r>
    </w:p>
    <w:p w:rsidR="00AB332B" w:rsidRPr="001140CF" w:rsidRDefault="00AB332B" w:rsidP="001140CF">
      <w:pPr>
        <w:rPr>
          <w:rFonts w:asciiTheme="majorBidi" w:eastAsiaTheme="minorEastAsia" w:hAnsiTheme="majorBidi" w:cstheme="majorBidi"/>
          <w:iCs/>
          <w:sz w:val="12"/>
          <w:szCs w:val="12"/>
          <w:lang w:bidi="ar-IQ"/>
        </w:rPr>
      </w:pPr>
    </w:p>
    <w:p w:rsidR="00AB332B" w:rsidRPr="00FA7042" w:rsidRDefault="00AB332B" w:rsidP="00377844">
      <w:pPr>
        <w:rPr>
          <w:rFonts w:asciiTheme="majorBidi" w:hAnsiTheme="majorBidi" w:cstheme="majorBidi"/>
        </w:rPr>
      </w:pPr>
      <m:oMath>
        <m:r>
          <m:rPr>
            <m:sty m:val="p"/>
          </m:rPr>
          <w:rPr>
            <w:rFonts w:ascii="Cambria Math" w:hAnsi="Cambria Math" w:cstheme="majorBidi"/>
          </w:rPr>
          <m:t>C</m:t>
        </m:r>
        <m:r>
          <m:rPr>
            <m:sty m:val="p"/>
          </m:rPr>
          <w:rPr>
            <w:rFonts w:ascii="Cambria Math" w:hAnsi="Cambria Math" w:cstheme="majorBidi"/>
            <w:vertAlign w:val="subscript"/>
          </w:rPr>
          <m:t>x</m:t>
        </m:r>
        <m:r>
          <m:rPr>
            <m:sty m:val="p"/>
          </m:rPr>
          <w:rPr>
            <w:rFonts w:ascii="Cambria Math" w:hAnsi="Cambria Math" w:cstheme="majorBidi"/>
          </w:rPr>
          <m:t>(sample)/ρ</m:t>
        </m:r>
        <m:r>
          <m:rPr>
            <m:sty m:val="p"/>
          </m:rPr>
          <w:rPr>
            <w:rFonts w:ascii="Cambria Math" w:hAnsi="Cambria Math" w:cstheme="majorBidi"/>
            <w:vertAlign w:val="subscript"/>
          </w:rPr>
          <m:t>x</m:t>
        </m:r>
        <m:r>
          <m:rPr>
            <m:sty m:val="p"/>
          </m:rPr>
          <w:rPr>
            <w:rFonts w:ascii="Cambria Math" w:hAnsi="Cambria Math" w:cstheme="majorBidi"/>
          </w:rPr>
          <m:t>(sample)=C</m:t>
        </m:r>
        <m:r>
          <m:rPr>
            <m:sty m:val="p"/>
          </m:rPr>
          <w:rPr>
            <w:rFonts w:ascii="Cambria Math" w:hAnsi="Cambria Math" w:cstheme="majorBidi"/>
            <w:vertAlign w:val="subscript"/>
          </w:rPr>
          <m:t>s</m:t>
        </m:r>
        <m:r>
          <m:rPr>
            <m:sty m:val="p"/>
          </m:rPr>
          <w:rPr>
            <w:rFonts w:ascii="Cambria Math" w:hAnsi="Cambria Math" w:cstheme="majorBidi"/>
          </w:rPr>
          <m:t>(standard)/ρ</m:t>
        </m:r>
        <m:r>
          <m:rPr>
            <m:sty m:val="p"/>
          </m:rPr>
          <w:rPr>
            <w:rFonts w:ascii="Cambria Math" w:hAnsi="Cambria Math" w:cstheme="majorBidi"/>
            <w:vertAlign w:val="subscript"/>
          </w:rPr>
          <m:t>s</m:t>
        </m:r>
        <m:r>
          <m:rPr>
            <m:sty m:val="p"/>
          </m:rPr>
          <w:rPr>
            <w:rFonts w:ascii="Cambria Math" w:hAnsi="Cambria Math" w:cstheme="majorBidi"/>
          </w:rPr>
          <m:t>(standard</m:t>
        </m:r>
        <m:r>
          <w:rPr>
            <w:rFonts w:ascii="Cambria Math" w:hAnsi="Cambria Math" w:cstheme="majorBidi"/>
          </w:rPr>
          <m:t>)</m:t>
        </m:r>
      </m:oMath>
      <w:r w:rsidR="005870C7">
        <w:rPr>
          <w:rFonts w:asciiTheme="majorBidi" w:hAnsiTheme="majorBidi" w:cstheme="majorBidi"/>
        </w:rPr>
        <w:t xml:space="preserve">                          </w:t>
      </w:r>
      <w:r w:rsidR="001140CF">
        <w:rPr>
          <w:rFonts w:asciiTheme="majorBidi" w:hAnsiTheme="majorBidi" w:cstheme="majorBidi"/>
        </w:rPr>
        <w:t xml:space="preserve">                              (</w:t>
      </w:r>
      <w:r w:rsidR="005870C7">
        <w:rPr>
          <w:rFonts w:asciiTheme="majorBidi" w:hAnsiTheme="majorBidi" w:cstheme="majorBidi"/>
        </w:rPr>
        <w:t>2)</w:t>
      </w:r>
    </w:p>
    <w:p w:rsidR="00AB332B" w:rsidRPr="001140CF" w:rsidRDefault="00AB332B" w:rsidP="001140CF">
      <w:pPr>
        <w:rPr>
          <w:rFonts w:asciiTheme="majorBidi" w:hAnsiTheme="majorBidi" w:cstheme="majorBidi"/>
          <w:sz w:val="12"/>
          <w:szCs w:val="12"/>
        </w:rPr>
      </w:pPr>
    </w:p>
    <w:p w:rsidR="00AB332B" w:rsidRPr="00FA7042" w:rsidRDefault="005870C7" w:rsidP="00377844">
      <w:pPr>
        <w:rPr>
          <w:rFonts w:asciiTheme="majorBidi" w:hAnsiTheme="majorBidi" w:cstheme="majorBidi"/>
        </w:rPr>
      </w:pPr>
      <m:oMath>
        <m:r>
          <m:rPr>
            <m:sty m:val="p"/>
          </m:rPr>
          <w:rPr>
            <w:rFonts w:ascii="Cambria Math" w:hAnsi="Cambria Math" w:cstheme="majorBidi"/>
          </w:rPr>
          <m:t>C</m:t>
        </m:r>
        <m:r>
          <m:rPr>
            <m:sty m:val="p"/>
          </m:rPr>
          <w:rPr>
            <w:rFonts w:ascii="Cambria Math" w:hAnsi="Cambria Math" w:cstheme="majorBidi"/>
            <w:vertAlign w:val="subscript"/>
          </w:rPr>
          <m:t>x</m:t>
        </m:r>
        <m:r>
          <m:rPr>
            <m:sty m:val="p"/>
          </m:rPr>
          <w:rPr>
            <w:rFonts w:ascii="Cambria Math" w:hAnsi="Cambria Math" w:cstheme="majorBidi"/>
          </w:rPr>
          <m:t>=ρ</m:t>
        </m:r>
        <m:r>
          <m:rPr>
            <m:sty m:val="p"/>
          </m:rPr>
          <w:rPr>
            <w:rFonts w:ascii="Cambria Math" w:hAnsi="Cambria Math" w:cstheme="majorBidi"/>
            <w:vertAlign w:val="subscript"/>
          </w:rPr>
          <m:t>x</m:t>
        </m:r>
        <m:r>
          <m:rPr>
            <m:sty m:val="p"/>
          </m:rPr>
          <w:rPr>
            <w:rFonts w:ascii="Cambria Math" w:hAnsi="Cambria Math" w:cstheme="majorBidi"/>
          </w:rPr>
          <m:t>.(C</m:t>
        </m:r>
        <m:r>
          <m:rPr>
            <m:sty m:val="p"/>
          </m:rPr>
          <w:rPr>
            <w:rFonts w:ascii="Cambria Math" w:hAnsi="Cambria Math" w:cstheme="majorBidi"/>
            <w:vertAlign w:val="subscript"/>
          </w:rPr>
          <m:t>s</m:t>
        </m:r>
        <m:r>
          <m:rPr>
            <m:sty m:val="p"/>
          </m:rPr>
          <w:rPr>
            <w:rFonts w:ascii="Cambria Math" w:hAnsi="Cambria Math" w:cstheme="majorBidi"/>
          </w:rPr>
          <m:t>/ρ</m:t>
        </m:r>
        <m:r>
          <m:rPr>
            <m:sty m:val="p"/>
          </m:rPr>
          <w:rPr>
            <w:rFonts w:ascii="Cambria Math" w:hAnsi="Cambria Math" w:cstheme="majorBidi"/>
            <w:vertAlign w:val="subscript"/>
          </w:rPr>
          <m:t>s</m:t>
        </m:r>
        <m:r>
          <m:rPr>
            <m:sty m:val="p"/>
          </m:rPr>
          <w:rPr>
            <w:rFonts w:ascii="Cambria Math" w:hAnsi="Cambria Math" w:cstheme="majorBidi"/>
          </w:rPr>
          <m:t>)</m:t>
        </m:r>
      </m:oMath>
      <w:r>
        <w:rPr>
          <w:rFonts w:asciiTheme="majorBidi" w:hAnsiTheme="majorBidi" w:cstheme="majorBidi"/>
        </w:rPr>
        <w:t xml:space="preserve">                                                                                                                </w:t>
      </w:r>
      <w:r w:rsidR="001140CF">
        <w:rPr>
          <w:rFonts w:asciiTheme="majorBidi" w:hAnsiTheme="majorBidi" w:cstheme="majorBidi"/>
        </w:rPr>
        <w:t xml:space="preserve">    </w:t>
      </w:r>
      <w:r>
        <w:rPr>
          <w:rFonts w:asciiTheme="majorBidi" w:hAnsiTheme="majorBidi" w:cstheme="majorBidi"/>
        </w:rPr>
        <w:t xml:space="preserve">     (3)</w:t>
      </w:r>
    </w:p>
    <w:p w:rsidR="00AB332B" w:rsidRPr="00F5258A" w:rsidRDefault="00AB332B" w:rsidP="00377844">
      <w:pPr>
        <w:rPr>
          <w:rFonts w:asciiTheme="majorBidi" w:hAnsiTheme="majorBidi" w:cstheme="majorBidi"/>
          <w:sz w:val="12"/>
          <w:szCs w:val="12"/>
        </w:rPr>
      </w:pPr>
    </w:p>
    <w:p w:rsidR="00AB332B" w:rsidRPr="00FA7042" w:rsidRDefault="00F5258A" w:rsidP="00F5258A">
      <w:pPr>
        <w:rPr>
          <w:rFonts w:asciiTheme="majorBidi" w:hAnsiTheme="majorBidi" w:cstheme="majorBidi"/>
        </w:rPr>
      </w:pPr>
      <w:r>
        <w:rPr>
          <w:rFonts w:asciiTheme="majorBidi" w:hAnsiTheme="majorBidi" w:cstheme="majorBidi"/>
        </w:rPr>
        <w:t>W</w:t>
      </w:r>
      <w:r w:rsidR="00AB332B" w:rsidRPr="00FA7042">
        <w:rPr>
          <w:rFonts w:asciiTheme="majorBidi" w:hAnsiTheme="majorBidi" w:cstheme="majorBidi"/>
        </w:rPr>
        <w:t xml:space="preserve">here: </w:t>
      </w:r>
      <w:proofErr w:type="spellStart"/>
      <w:r w:rsidR="00AB332B" w:rsidRPr="00FA7042">
        <w:rPr>
          <w:rFonts w:asciiTheme="majorBidi" w:hAnsiTheme="majorBidi" w:cstheme="majorBidi"/>
        </w:rPr>
        <w:t>ρ</w:t>
      </w:r>
      <w:r w:rsidR="00AB332B" w:rsidRPr="00FA7042">
        <w:rPr>
          <w:rFonts w:asciiTheme="majorBidi" w:hAnsiTheme="majorBidi" w:cstheme="majorBidi"/>
          <w:vertAlign w:val="subscript"/>
        </w:rPr>
        <w:t>x</w:t>
      </w:r>
      <w:proofErr w:type="spellEnd"/>
      <w:r w:rsidR="00AB332B" w:rsidRPr="00FA7042">
        <w:rPr>
          <w:rFonts w:asciiTheme="majorBidi" w:hAnsiTheme="majorBidi" w:cstheme="majorBidi"/>
        </w:rPr>
        <w:t>: Density of fission track of unknown sample (tracks/mm</w:t>
      </w:r>
      <w:r w:rsidR="00AB332B" w:rsidRPr="00FA7042">
        <w:rPr>
          <w:rFonts w:asciiTheme="majorBidi" w:hAnsiTheme="majorBidi" w:cstheme="majorBidi"/>
          <w:vertAlign w:val="superscript"/>
        </w:rPr>
        <w:t>2</w:t>
      </w:r>
      <w:r w:rsidR="00AB332B" w:rsidRPr="00FA7042">
        <w:rPr>
          <w:rFonts w:asciiTheme="majorBidi" w:hAnsiTheme="majorBidi" w:cstheme="majorBidi"/>
        </w:rPr>
        <w:t>).</w:t>
      </w:r>
    </w:p>
    <w:p w:rsidR="00AB332B" w:rsidRPr="00FA7042" w:rsidRDefault="00AB332B" w:rsidP="00377844">
      <w:pPr>
        <w:rPr>
          <w:rFonts w:asciiTheme="majorBidi" w:hAnsiTheme="majorBidi" w:cstheme="majorBidi"/>
        </w:rPr>
      </w:pPr>
      <w:proofErr w:type="spellStart"/>
      <w:proofErr w:type="gramStart"/>
      <w:r w:rsidRPr="00FA7042">
        <w:rPr>
          <w:rFonts w:asciiTheme="majorBidi" w:hAnsiTheme="majorBidi" w:cstheme="majorBidi"/>
        </w:rPr>
        <w:t>ρ</w:t>
      </w:r>
      <w:r w:rsidRPr="00FA7042">
        <w:rPr>
          <w:rFonts w:asciiTheme="majorBidi" w:hAnsiTheme="majorBidi" w:cstheme="majorBidi"/>
          <w:vertAlign w:val="subscript"/>
        </w:rPr>
        <w:t>s</w:t>
      </w:r>
      <w:proofErr w:type="spellEnd"/>
      <w:proofErr w:type="gramEnd"/>
      <w:r w:rsidRPr="00FA7042">
        <w:rPr>
          <w:rFonts w:asciiTheme="majorBidi" w:hAnsiTheme="majorBidi" w:cstheme="majorBidi"/>
        </w:rPr>
        <w:t>: Density of fission track of standard sample (tracks/mm</w:t>
      </w:r>
      <w:r w:rsidRPr="00FA7042">
        <w:rPr>
          <w:rFonts w:asciiTheme="majorBidi" w:hAnsiTheme="majorBidi" w:cstheme="majorBidi"/>
          <w:vertAlign w:val="superscript"/>
        </w:rPr>
        <w:t>2</w:t>
      </w:r>
      <w:r w:rsidRPr="00FA7042">
        <w:rPr>
          <w:rFonts w:asciiTheme="majorBidi" w:hAnsiTheme="majorBidi" w:cstheme="majorBidi"/>
        </w:rPr>
        <w:t>).</w:t>
      </w:r>
      <w:r w:rsidR="00F5258A">
        <w:rPr>
          <w:rFonts w:asciiTheme="majorBidi" w:hAnsiTheme="majorBidi" w:cstheme="majorBidi"/>
        </w:rPr>
        <w:t xml:space="preserve"> </w:t>
      </w:r>
    </w:p>
    <w:p w:rsidR="00AB332B" w:rsidRPr="00FA7042" w:rsidRDefault="00AB332B" w:rsidP="00377844">
      <w:pPr>
        <w:rPr>
          <w:rFonts w:asciiTheme="majorBidi" w:hAnsiTheme="majorBidi" w:cstheme="majorBidi"/>
        </w:rPr>
      </w:pPr>
      <w:proofErr w:type="spellStart"/>
      <w:proofErr w:type="gramStart"/>
      <w:r w:rsidRPr="00FA7042">
        <w:rPr>
          <w:rFonts w:asciiTheme="majorBidi" w:hAnsiTheme="majorBidi" w:cstheme="majorBidi"/>
        </w:rPr>
        <w:t>C</w:t>
      </w:r>
      <w:r w:rsidRPr="00FA7042">
        <w:rPr>
          <w:rFonts w:asciiTheme="majorBidi" w:hAnsiTheme="majorBidi" w:cstheme="majorBidi"/>
          <w:vertAlign w:val="subscript"/>
        </w:rPr>
        <w:t>x</w:t>
      </w:r>
      <w:proofErr w:type="spellEnd"/>
      <w:r w:rsidRPr="00FA7042">
        <w:rPr>
          <w:rFonts w:asciiTheme="majorBidi" w:hAnsiTheme="majorBidi" w:cstheme="majorBidi"/>
        </w:rPr>
        <w:t xml:space="preserve"> :</w:t>
      </w:r>
      <w:proofErr w:type="gramEnd"/>
      <w:r w:rsidR="00F5258A">
        <w:rPr>
          <w:rFonts w:asciiTheme="majorBidi" w:hAnsiTheme="majorBidi" w:cstheme="majorBidi"/>
        </w:rPr>
        <w:t xml:space="preserve"> </w:t>
      </w:r>
      <w:r w:rsidRPr="00FA7042">
        <w:rPr>
          <w:rFonts w:asciiTheme="majorBidi" w:hAnsiTheme="majorBidi" w:cstheme="majorBidi"/>
        </w:rPr>
        <w:t>Concentration of uranium of unknown sample (ppb).</w:t>
      </w:r>
      <w:r w:rsidR="00F5258A">
        <w:rPr>
          <w:rFonts w:asciiTheme="majorBidi" w:hAnsiTheme="majorBidi" w:cstheme="majorBidi"/>
        </w:rPr>
        <w:t xml:space="preserve"> </w:t>
      </w:r>
    </w:p>
    <w:p w:rsidR="00AB332B" w:rsidRDefault="00AB332B" w:rsidP="00377844">
      <w:pPr>
        <w:rPr>
          <w:rFonts w:asciiTheme="majorBidi" w:hAnsiTheme="majorBidi" w:cstheme="majorBidi"/>
          <w:b/>
          <w:bCs/>
        </w:rPr>
      </w:pPr>
      <w:r w:rsidRPr="00FA7042">
        <w:rPr>
          <w:rFonts w:asciiTheme="majorBidi" w:hAnsiTheme="majorBidi" w:cstheme="majorBidi"/>
        </w:rPr>
        <w:t>C</w:t>
      </w:r>
      <w:r w:rsidRPr="00FA7042">
        <w:rPr>
          <w:rFonts w:asciiTheme="majorBidi" w:hAnsiTheme="majorBidi" w:cstheme="majorBidi"/>
          <w:vertAlign w:val="subscript"/>
        </w:rPr>
        <w:t>s</w:t>
      </w:r>
      <w:r w:rsidRPr="00FA7042">
        <w:rPr>
          <w:rFonts w:asciiTheme="majorBidi" w:hAnsiTheme="majorBidi" w:cstheme="majorBidi"/>
        </w:rPr>
        <w:t>: Concentration of uranium of standard sample</w:t>
      </w:r>
      <w:r w:rsidR="00F5258A">
        <w:rPr>
          <w:rFonts w:asciiTheme="majorBidi" w:hAnsiTheme="majorBidi" w:cstheme="majorBidi"/>
        </w:rPr>
        <w:t xml:space="preserve"> </w:t>
      </w:r>
      <w:r w:rsidRPr="00FA7042">
        <w:rPr>
          <w:rFonts w:asciiTheme="majorBidi" w:hAnsiTheme="majorBidi" w:cstheme="majorBidi"/>
        </w:rPr>
        <w:t>(ppb).</w:t>
      </w:r>
      <w:r w:rsidR="00F5258A">
        <w:rPr>
          <w:rFonts w:asciiTheme="majorBidi" w:hAnsiTheme="majorBidi" w:cstheme="majorBidi"/>
        </w:rPr>
        <w:t xml:space="preserve"> </w:t>
      </w:r>
    </w:p>
    <w:p w:rsidR="005870C7" w:rsidRPr="00F5258A" w:rsidRDefault="005870C7" w:rsidP="00377844">
      <w:pPr>
        <w:rPr>
          <w:rFonts w:asciiTheme="majorBidi" w:hAnsiTheme="majorBidi" w:cstheme="majorBidi"/>
          <w:b/>
          <w:bCs/>
          <w:sz w:val="12"/>
          <w:szCs w:val="12"/>
        </w:rPr>
      </w:pPr>
    </w:p>
    <w:p w:rsidR="00AB332B" w:rsidRPr="00FA7042" w:rsidRDefault="00AB332B" w:rsidP="00377844">
      <w:pPr>
        <w:pStyle w:val="NormalWeb"/>
        <w:jc w:val="lowKashida"/>
        <w:rPr>
          <w:rFonts w:asciiTheme="majorBidi" w:hAnsiTheme="majorBidi" w:cstheme="majorBidi"/>
          <w:b/>
          <w:bCs/>
          <w:sz w:val="20"/>
          <w:szCs w:val="20"/>
          <w:lang w:bidi="ar-IQ"/>
        </w:rPr>
      </w:pPr>
      <w:r w:rsidRPr="00FA7042">
        <w:rPr>
          <w:rFonts w:asciiTheme="majorBidi" w:hAnsiTheme="majorBidi" w:cstheme="majorBidi"/>
          <w:color w:val="0E101A"/>
          <w:sz w:val="20"/>
          <w:szCs w:val="20"/>
        </w:rPr>
        <w:t>The slope of the linear relation between the density of the fission track and uranium concentration for standard samples is shown in Figure3</w:t>
      </w:r>
      <w:r w:rsidR="00F5258A">
        <w:rPr>
          <w:rFonts w:asciiTheme="majorBidi" w:hAnsiTheme="majorBidi" w:cstheme="majorBidi"/>
          <w:color w:val="0E101A"/>
          <w:sz w:val="20"/>
          <w:szCs w:val="20"/>
        </w:rPr>
        <w:t xml:space="preserve"> </w:t>
      </w:r>
      <w:r w:rsidRPr="00FA7042">
        <w:rPr>
          <w:rFonts w:asciiTheme="majorBidi" w:hAnsiTheme="majorBidi" w:cstheme="majorBidi"/>
          <w:color w:val="0E101A"/>
          <w:sz w:val="20"/>
          <w:szCs w:val="20"/>
        </w:rPr>
        <w:t>[</w:t>
      </w:r>
      <w:r w:rsidRPr="00F5258A">
        <w:rPr>
          <w:rFonts w:asciiTheme="majorBidi" w:hAnsiTheme="majorBidi" w:cstheme="majorBidi"/>
          <w:sz w:val="20"/>
          <w:szCs w:val="20"/>
        </w:rPr>
        <w:t>30</w:t>
      </w:r>
      <w:r w:rsidRPr="00FA7042">
        <w:rPr>
          <w:rFonts w:asciiTheme="majorBidi" w:hAnsiTheme="majorBidi" w:cstheme="majorBidi"/>
          <w:color w:val="0E101A"/>
          <w:sz w:val="20"/>
          <w:szCs w:val="20"/>
        </w:rPr>
        <w:t>].</w:t>
      </w:r>
      <w:r w:rsidR="00F5258A">
        <w:rPr>
          <w:rFonts w:asciiTheme="majorBidi" w:hAnsiTheme="majorBidi" w:cstheme="majorBidi"/>
          <w:color w:val="0E101A"/>
          <w:sz w:val="20"/>
          <w:szCs w:val="20"/>
        </w:rPr>
        <w:t xml:space="preserve"> </w:t>
      </w:r>
    </w:p>
    <w:p w:rsidR="00AB332B" w:rsidRDefault="00AB332B" w:rsidP="00377844">
      <w:pPr>
        <w:pStyle w:val="NormalWeb"/>
        <w:jc w:val="lowKashida"/>
        <w:rPr>
          <w:rFonts w:asciiTheme="majorBidi" w:hAnsiTheme="majorBidi" w:cstheme="majorBidi"/>
          <w:b/>
          <w:bCs/>
          <w:sz w:val="12"/>
          <w:szCs w:val="12"/>
          <w:lang w:bidi="ar-IQ"/>
        </w:rPr>
      </w:pPr>
    </w:p>
    <w:p w:rsidR="008E07EB" w:rsidRPr="008E07EB" w:rsidRDefault="008E07EB" w:rsidP="00377844">
      <w:pPr>
        <w:pStyle w:val="NormalWeb"/>
        <w:jc w:val="lowKashida"/>
        <w:rPr>
          <w:rFonts w:asciiTheme="majorBidi" w:hAnsiTheme="majorBidi" w:cstheme="majorBidi"/>
          <w:b/>
          <w:bCs/>
          <w:sz w:val="12"/>
          <w:szCs w:val="12"/>
          <w:lang w:bidi="ar-IQ"/>
        </w:rPr>
      </w:pPr>
    </w:p>
    <w:bookmarkEnd w:id="1"/>
    <w:p w:rsidR="000E7779" w:rsidRPr="000E7779" w:rsidRDefault="005870C7" w:rsidP="00377844">
      <w:pPr>
        <w:jc w:val="center"/>
      </w:pPr>
      <w:r w:rsidRPr="005870C7">
        <w:rPr>
          <w:noProof/>
        </w:rPr>
        <w:drawing>
          <wp:inline distT="0" distB="0" distL="0" distR="0" wp14:anchorId="0AD1E113" wp14:editId="30B45BA9">
            <wp:extent cx="5686425" cy="3905250"/>
            <wp:effectExtent l="19050" t="0" r="9525" b="0"/>
            <wp:docPr id="10"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687133" cy="3905736"/>
                    </a:xfrm>
                    <a:prstGeom prst="rect">
                      <a:avLst/>
                    </a:prstGeom>
                    <a:noFill/>
                    <a:ln w="9525">
                      <a:noFill/>
                      <a:miter lim="800000"/>
                      <a:headEnd/>
                      <a:tailEnd/>
                    </a:ln>
                  </pic:spPr>
                </pic:pic>
              </a:graphicData>
            </a:graphic>
          </wp:inline>
        </w:drawing>
      </w:r>
    </w:p>
    <w:p w:rsidR="006458BE" w:rsidRDefault="006458BE" w:rsidP="00377844">
      <w:pPr>
        <w:jc w:val="center"/>
        <w:rPr>
          <w:iCs/>
        </w:rPr>
      </w:pPr>
    </w:p>
    <w:p w:rsidR="005870C7" w:rsidRPr="00FA7042" w:rsidRDefault="005870C7" w:rsidP="00377844">
      <w:pPr>
        <w:jc w:val="center"/>
        <w:rPr>
          <w:lang w:bidi="ar-IQ"/>
        </w:rPr>
      </w:pPr>
      <w:r w:rsidRPr="00FA7042">
        <w:rPr>
          <w:rFonts w:asciiTheme="majorBidi" w:hAnsiTheme="majorBidi" w:cstheme="majorBidi"/>
          <w:color w:val="0E101A"/>
          <w:lang w:bidi="ar-IQ"/>
        </w:rPr>
        <w:t>Figure.3:</w:t>
      </w:r>
      <w:r w:rsidR="008E07EB">
        <w:rPr>
          <w:rFonts w:asciiTheme="majorBidi" w:hAnsiTheme="majorBidi" w:cstheme="majorBidi"/>
          <w:color w:val="0E101A"/>
          <w:lang w:bidi="ar-IQ"/>
        </w:rPr>
        <w:t xml:space="preserve"> </w:t>
      </w:r>
      <w:r w:rsidRPr="00FA7042">
        <w:rPr>
          <w:rFonts w:asciiTheme="majorBidi" w:hAnsiTheme="majorBidi" w:cstheme="majorBidi"/>
        </w:rPr>
        <w:t xml:space="preserve">The relationship between fission track </w:t>
      </w:r>
      <w:proofErr w:type="gramStart"/>
      <w:r w:rsidRPr="00FA7042">
        <w:rPr>
          <w:rFonts w:asciiTheme="majorBidi" w:hAnsiTheme="majorBidi" w:cstheme="majorBidi"/>
        </w:rPr>
        <w:t>density  and</w:t>
      </w:r>
      <w:proofErr w:type="gramEnd"/>
      <w:r w:rsidRPr="00FA7042">
        <w:rPr>
          <w:rFonts w:asciiTheme="majorBidi" w:hAnsiTheme="majorBidi" w:cstheme="majorBidi"/>
        </w:rPr>
        <w:t xml:space="preserve"> concentration of uranium (ppb) for standard samples.</w:t>
      </w:r>
      <w:r w:rsidR="008E07EB">
        <w:rPr>
          <w:rFonts w:asciiTheme="majorBidi" w:hAnsiTheme="majorBidi" w:cstheme="majorBidi"/>
        </w:rPr>
        <w:t xml:space="preserve"> </w:t>
      </w:r>
    </w:p>
    <w:p w:rsidR="008E07EB" w:rsidRPr="008E07EB" w:rsidRDefault="008E07EB" w:rsidP="00377844">
      <w:pPr>
        <w:rPr>
          <w:rFonts w:asciiTheme="majorBidi" w:hAnsiTheme="majorBidi" w:cstheme="majorBidi"/>
          <w:b/>
          <w:bCs/>
          <w:sz w:val="12"/>
          <w:szCs w:val="12"/>
        </w:rPr>
      </w:pPr>
    </w:p>
    <w:p w:rsidR="005870C7" w:rsidRPr="005870C7" w:rsidRDefault="005870C7" w:rsidP="00377844">
      <w:pPr>
        <w:rPr>
          <w:rFonts w:asciiTheme="majorBidi" w:hAnsiTheme="majorBidi" w:cstheme="majorBidi"/>
          <w:b/>
          <w:bCs/>
        </w:rPr>
      </w:pPr>
      <w:r>
        <w:rPr>
          <w:rFonts w:asciiTheme="majorBidi" w:hAnsiTheme="majorBidi" w:cstheme="majorBidi"/>
          <w:b/>
          <w:bCs/>
        </w:rPr>
        <w:t>2.4.</w:t>
      </w:r>
      <w:r w:rsidR="008E07EB">
        <w:rPr>
          <w:rFonts w:asciiTheme="majorBidi" w:hAnsiTheme="majorBidi" w:cstheme="majorBidi"/>
          <w:b/>
          <w:bCs/>
        </w:rPr>
        <w:t xml:space="preserve"> </w:t>
      </w:r>
      <w:r w:rsidRPr="005870C7">
        <w:rPr>
          <w:rFonts w:asciiTheme="majorBidi" w:hAnsiTheme="majorBidi" w:cstheme="majorBidi"/>
          <w:b/>
          <w:bCs/>
        </w:rPr>
        <w:t>Statistical Analysis</w:t>
      </w:r>
    </w:p>
    <w:p w:rsidR="008E07EB" w:rsidRPr="008E07EB" w:rsidRDefault="008E07EB" w:rsidP="00377844">
      <w:pPr>
        <w:jc w:val="lowKashida"/>
        <w:rPr>
          <w:rFonts w:asciiTheme="majorBidi" w:hAnsiTheme="majorBidi" w:cstheme="majorBidi"/>
          <w:sz w:val="8"/>
          <w:szCs w:val="8"/>
        </w:rPr>
      </w:pPr>
    </w:p>
    <w:p w:rsidR="005870C7" w:rsidRPr="005870C7" w:rsidRDefault="005870C7" w:rsidP="008E07EB">
      <w:pPr>
        <w:jc w:val="lowKashida"/>
        <w:rPr>
          <w:rFonts w:asciiTheme="majorBidi" w:hAnsiTheme="majorBidi" w:cstheme="majorBidi"/>
          <w:b/>
          <w:bCs/>
        </w:rPr>
      </w:pPr>
      <w:r w:rsidRPr="005870C7">
        <w:rPr>
          <w:rFonts w:asciiTheme="majorBidi" w:hAnsiTheme="majorBidi" w:cstheme="majorBidi"/>
        </w:rPr>
        <w:t>The Statistical Package for Social Sciences (SPSS,</w:t>
      </w:r>
      <w:r w:rsidR="008E07EB">
        <w:rPr>
          <w:rFonts w:asciiTheme="majorBidi" w:hAnsiTheme="majorBidi" w:cstheme="majorBidi"/>
        </w:rPr>
        <w:t xml:space="preserve"> </w:t>
      </w:r>
      <w:r w:rsidRPr="005870C7">
        <w:rPr>
          <w:rFonts w:asciiTheme="majorBidi" w:hAnsiTheme="majorBidi" w:cstheme="majorBidi"/>
        </w:rPr>
        <w:t>version23) served as the analytical tool for this study. The analyzed data is expressed as mean</w:t>
      </w:r>
      <w:r w:rsidR="008E07EB">
        <w:rPr>
          <w:rFonts w:asciiTheme="majorBidi" w:hAnsiTheme="majorBidi" w:cstheme="majorBidi"/>
        </w:rPr>
        <w:t xml:space="preserve"> </w:t>
      </w:r>
      <w:r w:rsidRPr="005870C7">
        <w:rPr>
          <w:rFonts w:asciiTheme="majorBidi" w:hAnsiTheme="majorBidi" w:cstheme="majorBidi"/>
        </w:rPr>
        <w:t>± standard deviation (SD).</w:t>
      </w:r>
      <w:r w:rsidR="008E07EB">
        <w:rPr>
          <w:rFonts w:asciiTheme="majorBidi" w:hAnsiTheme="majorBidi" w:cstheme="majorBidi"/>
        </w:rPr>
        <w:t xml:space="preserve"> For group comparisons</w:t>
      </w:r>
      <w:r w:rsidRPr="005870C7">
        <w:rPr>
          <w:rFonts w:asciiTheme="majorBidi" w:hAnsiTheme="majorBidi" w:cstheme="majorBidi"/>
        </w:rPr>
        <w:t>,</w:t>
      </w:r>
      <w:r w:rsidR="008E07EB">
        <w:rPr>
          <w:rFonts w:asciiTheme="majorBidi" w:hAnsiTheme="majorBidi" w:cstheme="majorBidi"/>
        </w:rPr>
        <w:t xml:space="preserve"> </w:t>
      </w:r>
      <w:r w:rsidRPr="005870C7">
        <w:rPr>
          <w:rFonts w:asciiTheme="majorBidi" w:hAnsiTheme="majorBidi" w:cstheme="majorBidi"/>
        </w:rPr>
        <w:t>One-way analysis of variance (ANOVA) was employed to assess uranium concentration. Furthermore, linear correlation analysis was utilized to determine the relationship between the duration of employment and uranium concentration.</w:t>
      </w:r>
      <w:r w:rsidR="008E07EB">
        <w:rPr>
          <w:rFonts w:asciiTheme="majorBidi" w:hAnsiTheme="majorBidi" w:cstheme="majorBidi"/>
        </w:rPr>
        <w:t xml:space="preserve"> </w:t>
      </w:r>
    </w:p>
    <w:p w:rsidR="005870C7" w:rsidRDefault="005870C7" w:rsidP="008E07EB">
      <w:pPr>
        <w:rPr>
          <w:iCs/>
        </w:rPr>
      </w:pPr>
    </w:p>
    <w:bookmarkEnd w:id="2"/>
    <w:p w:rsidR="006458BE" w:rsidRPr="008C2438" w:rsidRDefault="008C2438" w:rsidP="008C2438">
      <w:pPr>
        <w:tabs>
          <w:tab w:val="left" w:pos="426"/>
        </w:tabs>
        <w:rPr>
          <w:b/>
          <w:bCs/>
          <w:sz w:val="22"/>
          <w:szCs w:val="22"/>
          <w:lang w:val="en-GB"/>
        </w:rPr>
      </w:pPr>
      <w:r w:rsidRPr="008C2438">
        <w:rPr>
          <w:b/>
          <w:bCs/>
          <w:sz w:val="22"/>
          <w:szCs w:val="22"/>
          <w:lang w:val="en-GB"/>
        </w:rPr>
        <w:lastRenderedPageBreak/>
        <w:t xml:space="preserve">3- </w:t>
      </w:r>
      <w:r w:rsidR="006458BE" w:rsidRPr="008C2438">
        <w:rPr>
          <w:b/>
          <w:bCs/>
          <w:sz w:val="22"/>
          <w:szCs w:val="22"/>
          <w:lang w:val="id-ID"/>
        </w:rPr>
        <w:t>RESULTS AND DISCUSSION</w:t>
      </w:r>
      <w:r>
        <w:rPr>
          <w:b/>
          <w:bCs/>
          <w:sz w:val="22"/>
          <w:szCs w:val="22"/>
          <w:lang w:val="en-GB"/>
        </w:rPr>
        <w:t xml:space="preserve"> </w:t>
      </w:r>
    </w:p>
    <w:p w:rsidR="005870C7" w:rsidRPr="008C2438" w:rsidRDefault="005870C7" w:rsidP="00377844">
      <w:pPr>
        <w:tabs>
          <w:tab w:val="left" w:pos="426"/>
        </w:tabs>
        <w:rPr>
          <w:b/>
          <w:bCs/>
          <w:sz w:val="12"/>
          <w:szCs w:val="12"/>
        </w:rPr>
      </w:pPr>
    </w:p>
    <w:p w:rsidR="005870C7" w:rsidRPr="00FA7042" w:rsidRDefault="005870C7" w:rsidP="00BB2EB7">
      <w:pPr>
        <w:ind w:firstLine="720"/>
        <w:jc w:val="lowKashida"/>
        <w:rPr>
          <w:rFonts w:asciiTheme="majorBidi" w:hAnsiTheme="majorBidi" w:cstheme="majorBidi"/>
          <w:lang w:bidi="ar-IQ"/>
        </w:rPr>
      </w:pPr>
      <w:r w:rsidRPr="00FA7042">
        <w:rPr>
          <w:rFonts w:asciiTheme="majorBidi" w:hAnsiTheme="majorBidi" w:cstheme="majorBidi"/>
          <w:lang w:bidi="ar-IQ"/>
        </w:rPr>
        <w:t>Previous studies presented findings regarding uranium concentrations in blood and human tissue [</w:t>
      </w:r>
      <w:r w:rsidRPr="00AA0AA5">
        <w:rPr>
          <w:rFonts w:asciiTheme="majorBidi" w:hAnsiTheme="majorBidi" w:cstheme="majorBidi"/>
          <w:lang w:bidi="ar-IQ"/>
        </w:rPr>
        <w:t>31-33</w:t>
      </w:r>
      <w:r w:rsidRPr="00FA7042">
        <w:rPr>
          <w:rFonts w:asciiTheme="majorBidi" w:hAnsiTheme="majorBidi" w:cstheme="majorBidi"/>
          <w:lang w:bidi="ar-IQ"/>
        </w:rPr>
        <w:t xml:space="preserve">]. In this study, </w:t>
      </w:r>
      <w:r w:rsidR="00AA0AA5">
        <w:rPr>
          <w:rFonts w:asciiTheme="majorBidi" w:hAnsiTheme="majorBidi" w:cstheme="majorBidi"/>
          <w:lang w:bidi="ar-IQ"/>
        </w:rPr>
        <w:t>t</w:t>
      </w:r>
      <w:r w:rsidRPr="00FA7042">
        <w:rPr>
          <w:rFonts w:asciiTheme="majorBidi" w:hAnsiTheme="majorBidi" w:cstheme="majorBidi"/>
          <w:lang w:bidi="ar-IQ"/>
        </w:rPr>
        <w:t>he track densities and concentrations of uranium within the blood sample are presented in Tables</w:t>
      </w:r>
      <w:r w:rsidR="00BB2EB7">
        <w:rPr>
          <w:rFonts w:asciiTheme="majorBidi" w:hAnsiTheme="majorBidi" w:cstheme="majorBidi"/>
          <w:lang w:bidi="ar-IQ"/>
        </w:rPr>
        <w:t xml:space="preserve"> </w:t>
      </w:r>
      <w:r w:rsidRPr="00FA7042">
        <w:rPr>
          <w:rFonts w:asciiTheme="majorBidi" w:hAnsiTheme="majorBidi" w:cstheme="majorBidi"/>
          <w:lang w:bidi="ar-IQ"/>
        </w:rPr>
        <w:t>1,</w:t>
      </w:r>
      <w:r w:rsidR="00AA0AA5">
        <w:rPr>
          <w:rFonts w:asciiTheme="majorBidi" w:hAnsiTheme="majorBidi" w:cstheme="majorBidi"/>
          <w:lang w:bidi="ar-IQ"/>
        </w:rPr>
        <w:t xml:space="preserve"> </w:t>
      </w:r>
      <w:r w:rsidRPr="00FA7042">
        <w:rPr>
          <w:rFonts w:asciiTheme="majorBidi" w:hAnsiTheme="majorBidi" w:cstheme="majorBidi"/>
          <w:lang w:bidi="ar-IQ"/>
        </w:rPr>
        <w:t>2</w:t>
      </w:r>
      <w:r w:rsidR="00AA0AA5">
        <w:rPr>
          <w:rFonts w:asciiTheme="majorBidi" w:hAnsiTheme="majorBidi" w:cstheme="majorBidi"/>
          <w:lang w:bidi="ar-IQ"/>
        </w:rPr>
        <w:t xml:space="preserve"> </w:t>
      </w:r>
      <w:r w:rsidRPr="00FA7042">
        <w:rPr>
          <w:rFonts w:asciiTheme="majorBidi" w:hAnsiTheme="majorBidi" w:cstheme="majorBidi"/>
          <w:lang w:bidi="ar-IQ"/>
        </w:rPr>
        <w:t>and</w:t>
      </w:r>
      <w:r w:rsidR="00AA0AA5">
        <w:rPr>
          <w:rFonts w:asciiTheme="majorBidi" w:hAnsiTheme="majorBidi" w:cstheme="majorBidi"/>
          <w:lang w:bidi="ar-IQ"/>
        </w:rPr>
        <w:t xml:space="preserve"> </w:t>
      </w:r>
      <w:r w:rsidRPr="00FA7042">
        <w:rPr>
          <w:rFonts w:asciiTheme="majorBidi" w:hAnsiTheme="majorBidi" w:cstheme="majorBidi"/>
          <w:lang w:bidi="ar-IQ"/>
        </w:rPr>
        <w:t>3. In the first group, the samples collected from personnel lacking protective measures with aged between</w:t>
      </w:r>
      <w:r w:rsidR="00AA0AA5">
        <w:rPr>
          <w:rFonts w:asciiTheme="majorBidi" w:hAnsiTheme="majorBidi" w:cstheme="majorBidi"/>
          <w:lang w:bidi="ar-IQ"/>
        </w:rPr>
        <w:t xml:space="preserve"> </w:t>
      </w:r>
      <w:r w:rsidRPr="00FA7042">
        <w:rPr>
          <w:rFonts w:asciiTheme="majorBidi" w:hAnsiTheme="majorBidi" w:cstheme="majorBidi"/>
          <w:lang w:bidi="ar-IQ"/>
        </w:rPr>
        <w:t>(52</w:t>
      </w:r>
      <w:r w:rsidR="00AA0AA5">
        <w:rPr>
          <w:rFonts w:asciiTheme="majorBidi" w:hAnsiTheme="majorBidi" w:cstheme="majorBidi"/>
          <w:lang w:bidi="ar-IQ"/>
        </w:rPr>
        <w:t xml:space="preserve"> </w:t>
      </w:r>
      <w:r w:rsidRPr="00FA7042">
        <w:rPr>
          <w:rFonts w:asciiTheme="majorBidi" w:hAnsiTheme="majorBidi" w:cstheme="majorBidi"/>
          <w:lang w:bidi="ar-IQ"/>
        </w:rPr>
        <w:t>to</w:t>
      </w:r>
      <w:r w:rsidR="00AA0AA5">
        <w:rPr>
          <w:rFonts w:asciiTheme="majorBidi" w:hAnsiTheme="majorBidi" w:cstheme="majorBidi"/>
          <w:lang w:bidi="ar-IQ"/>
        </w:rPr>
        <w:t xml:space="preserve"> </w:t>
      </w:r>
      <w:r w:rsidRPr="00FA7042">
        <w:rPr>
          <w:rFonts w:asciiTheme="majorBidi" w:hAnsiTheme="majorBidi" w:cstheme="majorBidi"/>
          <w:lang w:bidi="ar-IQ"/>
        </w:rPr>
        <w:t>59</w:t>
      </w:r>
      <w:r w:rsidR="00AA0AA5">
        <w:rPr>
          <w:rFonts w:asciiTheme="majorBidi" w:hAnsiTheme="majorBidi" w:cstheme="majorBidi"/>
          <w:lang w:bidi="ar-IQ"/>
        </w:rPr>
        <w:t xml:space="preserve"> </w:t>
      </w:r>
      <w:r w:rsidRPr="00FA7042">
        <w:rPr>
          <w:rFonts w:asciiTheme="majorBidi" w:hAnsiTheme="majorBidi" w:cstheme="majorBidi"/>
          <w:lang w:bidi="ar-IQ"/>
        </w:rPr>
        <w:t>years) and duration of employment from (30</w:t>
      </w:r>
      <w:r w:rsidR="00AA0AA5">
        <w:rPr>
          <w:rFonts w:asciiTheme="majorBidi" w:hAnsiTheme="majorBidi" w:cstheme="majorBidi"/>
          <w:lang w:bidi="ar-IQ"/>
        </w:rPr>
        <w:t xml:space="preserve"> </w:t>
      </w:r>
      <w:r w:rsidRPr="00FA7042">
        <w:rPr>
          <w:rFonts w:asciiTheme="majorBidi" w:hAnsiTheme="majorBidi" w:cstheme="majorBidi"/>
          <w:lang w:bidi="ar-IQ"/>
        </w:rPr>
        <w:t>to</w:t>
      </w:r>
      <w:r w:rsidR="00AA0AA5">
        <w:rPr>
          <w:rFonts w:asciiTheme="majorBidi" w:hAnsiTheme="majorBidi" w:cstheme="majorBidi"/>
          <w:lang w:bidi="ar-IQ"/>
        </w:rPr>
        <w:t xml:space="preserve"> </w:t>
      </w:r>
      <w:r w:rsidRPr="00FA7042">
        <w:rPr>
          <w:rFonts w:asciiTheme="majorBidi" w:hAnsiTheme="majorBidi" w:cstheme="majorBidi"/>
          <w:lang w:bidi="ar-IQ"/>
        </w:rPr>
        <w:t>35</w:t>
      </w:r>
      <w:r w:rsidR="00AA0AA5">
        <w:rPr>
          <w:rFonts w:asciiTheme="majorBidi" w:hAnsiTheme="majorBidi" w:cstheme="majorBidi"/>
          <w:lang w:bidi="ar-IQ"/>
        </w:rPr>
        <w:t xml:space="preserve"> </w:t>
      </w:r>
      <w:r w:rsidRPr="00FA7042">
        <w:rPr>
          <w:rFonts w:asciiTheme="majorBidi" w:hAnsiTheme="majorBidi" w:cstheme="majorBidi"/>
          <w:lang w:bidi="ar-IQ"/>
        </w:rPr>
        <w:t>years), were given numbers from 1</w:t>
      </w:r>
      <w:r w:rsidR="00BB2EB7">
        <w:rPr>
          <w:rFonts w:asciiTheme="majorBidi" w:hAnsiTheme="majorBidi" w:cstheme="majorBidi"/>
          <w:lang w:bidi="ar-IQ"/>
        </w:rPr>
        <w:t xml:space="preserve"> </w:t>
      </w:r>
      <w:r w:rsidRPr="00FA7042">
        <w:rPr>
          <w:rFonts w:asciiTheme="majorBidi" w:hAnsiTheme="majorBidi" w:cstheme="majorBidi"/>
          <w:lang w:bidi="ar-IQ"/>
        </w:rPr>
        <w:t>to</w:t>
      </w:r>
      <w:r w:rsidR="00BB2EB7">
        <w:rPr>
          <w:rFonts w:asciiTheme="majorBidi" w:hAnsiTheme="majorBidi" w:cstheme="majorBidi"/>
          <w:lang w:bidi="ar-IQ"/>
        </w:rPr>
        <w:t xml:space="preserve"> </w:t>
      </w:r>
      <w:r w:rsidRPr="00FA7042">
        <w:rPr>
          <w:rFonts w:asciiTheme="majorBidi" w:hAnsiTheme="majorBidi" w:cstheme="majorBidi"/>
          <w:lang w:bidi="ar-IQ"/>
        </w:rPr>
        <w:t>8 as in Table</w:t>
      </w:r>
      <w:r w:rsidR="00BB2EB7">
        <w:rPr>
          <w:rFonts w:asciiTheme="majorBidi" w:hAnsiTheme="majorBidi" w:cstheme="majorBidi"/>
          <w:lang w:bidi="ar-IQ"/>
        </w:rPr>
        <w:t xml:space="preserve"> </w:t>
      </w:r>
      <w:r w:rsidRPr="00FA7042">
        <w:rPr>
          <w:rFonts w:asciiTheme="majorBidi" w:hAnsiTheme="majorBidi" w:cstheme="majorBidi"/>
          <w:lang w:bidi="ar-IQ"/>
        </w:rPr>
        <w:t>1. The maximum and minimum obtained values of uranium concentrations were (0.273</w:t>
      </w:r>
      <w:r w:rsidR="00AA0AA5">
        <w:rPr>
          <w:rFonts w:asciiTheme="majorBidi" w:hAnsiTheme="majorBidi" w:cstheme="majorBidi"/>
          <w:lang w:bidi="ar-IQ"/>
        </w:rPr>
        <w:t xml:space="preserve"> </w:t>
      </w:r>
      <w:r w:rsidRPr="00FA7042">
        <w:rPr>
          <w:rFonts w:asciiTheme="majorBidi" w:hAnsiTheme="majorBidi" w:cstheme="majorBidi"/>
          <w:lang w:bidi="ar-IQ"/>
        </w:rPr>
        <w:t>±</w:t>
      </w:r>
      <w:r w:rsidR="00AA0AA5">
        <w:rPr>
          <w:rFonts w:asciiTheme="majorBidi" w:hAnsiTheme="majorBidi" w:cstheme="majorBidi"/>
          <w:lang w:bidi="ar-IQ"/>
        </w:rPr>
        <w:t xml:space="preserve"> </w:t>
      </w:r>
      <w:r w:rsidRPr="00FA7042">
        <w:rPr>
          <w:rFonts w:asciiTheme="majorBidi" w:hAnsiTheme="majorBidi" w:cstheme="majorBidi"/>
          <w:lang w:bidi="ar-IQ"/>
        </w:rPr>
        <w:t>0.038</w:t>
      </w:r>
      <w:r w:rsidR="00AA0AA5">
        <w:rPr>
          <w:rFonts w:asciiTheme="majorBidi" w:hAnsiTheme="majorBidi" w:cstheme="majorBidi"/>
          <w:lang w:bidi="ar-IQ"/>
        </w:rPr>
        <w:t xml:space="preserve"> </w:t>
      </w:r>
      <w:r w:rsidRPr="00FA7042">
        <w:rPr>
          <w:rFonts w:asciiTheme="majorBidi" w:hAnsiTheme="majorBidi" w:cstheme="majorBidi"/>
          <w:lang w:bidi="ar-IQ"/>
        </w:rPr>
        <w:t>ppb) and</w:t>
      </w:r>
      <w:r w:rsidR="00AA0AA5">
        <w:rPr>
          <w:rFonts w:asciiTheme="majorBidi" w:hAnsiTheme="majorBidi" w:cstheme="majorBidi"/>
          <w:lang w:bidi="ar-IQ"/>
        </w:rPr>
        <w:t xml:space="preserve"> </w:t>
      </w:r>
      <w:r w:rsidRPr="00FA7042">
        <w:rPr>
          <w:rFonts w:asciiTheme="majorBidi" w:hAnsiTheme="majorBidi" w:cstheme="majorBidi"/>
          <w:lang w:bidi="ar-IQ"/>
        </w:rPr>
        <w:t>(0.170</w:t>
      </w:r>
      <w:r w:rsidR="00AA0AA5">
        <w:rPr>
          <w:rFonts w:asciiTheme="majorBidi" w:hAnsiTheme="majorBidi" w:cstheme="majorBidi"/>
          <w:lang w:bidi="ar-IQ"/>
        </w:rPr>
        <w:t xml:space="preserve"> </w:t>
      </w:r>
      <w:r w:rsidRPr="00FA7042">
        <w:rPr>
          <w:rFonts w:asciiTheme="majorBidi" w:hAnsiTheme="majorBidi" w:cstheme="majorBidi"/>
          <w:lang w:bidi="ar-IQ"/>
        </w:rPr>
        <w:t>±</w:t>
      </w:r>
      <w:r w:rsidR="00AA0AA5">
        <w:rPr>
          <w:rFonts w:asciiTheme="majorBidi" w:hAnsiTheme="majorBidi" w:cstheme="majorBidi"/>
          <w:lang w:bidi="ar-IQ"/>
        </w:rPr>
        <w:t xml:space="preserve"> </w:t>
      </w:r>
      <w:r w:rsidRPr="00FA7042">
        <w:rPr>
          <w:rFonts w:asciiTheme="majorBidi" w:hAnsiTheme="majorBidi" w:cstheme="majorBidi"/>
          <w:lang w:bidi="ar-IQ"/>
        </w:rPr>
        <w:t>0.024</w:t>
      </w:r>
      <w:r w:rsidR="00AA0AA5">
        <w:rPr>
          <w:rFonts w:asciiTheme="majorBidi" w:hAnsiTheme="majorBidi" w:cstheme="majorBidi"/>
          <w:lang w:bidi="ar-IQ"/>
        </w:rPr>
        <w:t xml:space="preserve"> </w:t>
      </w:r>
      <w:r w:rsidRPr="00FA7042">
        <w:rPr>
          <w:rFonts w:asciiTheme="majorBidi" w:hAnsiTheme="majorBidi" w:cstheme="majorBidi"/>
          <w:lang w:bidi="ar-IQ"/>
        </w:rPr>
        <w:t>ppb) respectively with an average value of (0.211</w:t>
      </w:r>
      <w:r w:rsidR="00BB2EB7">
        <w:rPr>
          <w:rFonts w:asciiTheme="majorBidi" w:hAnsiTheme="majorBidi" w:cstheme="majorBidi"/>
          <w:lang w:bidi="ar-IQ"/>
        </w:rPr>
        <w:t xml:space="preserve"> </w:t>
      </w:r>
      <w:r w:rsidRPr="00FA7042">
        <w:rPr>
          <w:rFonts w:asciiTheme="majorBidi" w:hAnsiTheme="majorBidi" w:cstheme="majorBidi"/>
          <w:lang w:bidi="ar-IQ"/>
        </w:rPr>
        <w:t>±</w:t>
      </w:r>
      <w:r w:rsidR="00BB2EB7">
        <w:rPr>
          <w:rFonts w:asciiTheme="majorBidi" w:hAnsiTheme="majorBidi" w:cstheme="majorBidi"/>
          <w:lang w:bidi="ar-IQ"/>
        </w:rPr>
        <w:t xml:space="preserve"> </w:t>
      </w:r>
      <w:r w:rsidRPr="00FA7042">
        <w:rPr>
          <w:rFonts w:asciiTheme="majorBidi" w:hAnsiTheme="majorBidi" w:cstheme="majorBidi"/>
          <w:lang w:bidi="ar-IQ"/>
        </w:rPr>
        <w:t>0.033</w:t>
      </w:r>
      <w:r w:rsidR="00BB2EB7">
        <w:rPr>
          <w:rFonts w:asciiTheme="majorBidi" w:hAnsiTheme="majorBidi" w:cstheme="majorBidi"/>
          <w:lang w:bidi="ar-IQ"/>
        </w:rPr>
        <w:t xml:space="preserve"> </w:t>
      </w:r>
      <w:r w:rsidRPr="00FA7042">
        <w:rPr>
          <w:rFonts w:asciiTheme="majorBidi" w:hAnsiTheme="majorBidi" w:cstheme="majorBidi"/>
          <w:lang w:bidi="ar-IQ"/>
        </w:rPr>
        <w:t>ppb). The higher track density was found in this group (8.845</w:t>
      </w:r>
      <w:r w:rsidR="00BB2EB7">
        <w:rPr>
          <w:rFonts w:asciiTheme="majorBidi" w:hAnsiTheme="majorBidi" w:cstheme="majorBidi"/>
          <w:lang w:bidi="ar-IQ"/>
        </w:rPr>
        <w:t xml:space="preserve"> </w:t>
      </w:r>
      <w:r w:rsidRPr="00FA7042">
        <w:rPr>
          <w:rFonts w:asciiTheme="majorBidi" w:hAnsiTheme="majorBidi" w:cstheme="majorBidi"/>
          <w:lang w:bidi="ar-IQ"/>
        </w:rPr>
        <w:t>±</w:t>
      </w:r>
      <w:r w:rsidR="00BB2EB7">
        <w:rPr>
          <w:rFonts w:asciiTheme="majorBidi" w:hAnsiTheme="majorBidi" w:cstheme="majorBidi"/>
          <w:lang w:bidi="ar-IQ"/>
        </w:rPr>
        <w:t xml:space="preserve"> </w:t>
      </w:r>
      <w:r w:rsidRPr="00FA7042">
        <w:rPr>
          <w:rFonts w:asciiTheme="majorBidi" w:hAnsiTheme="majorBidi" w:cstheme="majorBidi"/>
          <w:lang w:bidi="ar-IQ"/>
        </w:rPr>
        <w:t>1.363) Fig</w:t>
      </w:r>
      <w:r w:rsidR="00BB2EB7">
        <w:rPr>
          <w:rFonts w:asciiTheme="majorBidi" w:hAnsiTheme="majorBidi" w:cstheme="majorBidi"/>
          <w:lang w:bidi="ar-IQ"/>
        </w:rPr>
        <w:t xml:space="preserve"> </w:t>
      </w:r>
      <w:r w:rsidRPr="00FA7042">
        <w:rPr>
          <w:rFonts w:asciiTheme="majorBidi" w:hAnsiTheme="majorBidi" w:cstheme="majorBidi"/>
          <w:lang w:bidi="ar-IQ"/>
        </w:rPr>
        <w:t>2</w:t>
      </w:r>
      <w:r w:rsidR="00BB2EB7">
        <w:rPr>
          <w:rFonts w:asciiTheme="majorBidi" w:hAnsiTheme="majorBidi" w:cstheme="majorBidi"/>
          <w:lang w:bidi="ar-IQ"/>
        </w:rPr>
        <w:t xml:space="preserve"> A</w:t>
      </w:r>
      <w:r w:rsidRPr="00FA7042">
        <w:rPr>
          <w:rFonts w:asciiTheme="majorBidi" w:hAnsiTheme="majorBidi" w:cstheme="majorBidi"/>
          <w:lang w:bidi="ar-IQ"/>
        </w:rPr>
        <w:t>. The second group of personnel with protective measure aged between (28</w:t>
      </w:r>
      <w:r w:rsidR="00BB2EB7">
        <w:rPr>
          <w:rFonts w:asciiTheme="majorBidi" w:hAnsiTheme="majorBidi" w:cstheme="majorBidi"/>
          <w:lang w:bidi="ar-IQ"/>
        </w:rPr>
        <w:t xml:space="preserve"> </w:t>
      </w:r>
      <w:r w:rsidRPr="00FA7042">
        <w:rPr>
          <w:rFonts w:asciiTheme="majorBidi" w:hAnsiTheme="majorBidi" w:cstheme="majorBidi"/>
          <w:lang w:bidi="ar-IQ"/>
        </w:rPr>
        <w:t>to</w:t>
      </w:r>
      <w:r w:rsidR="00BB2EB7">
        <w:rPr>
          <w:rFonts w:asciiTheme="majorBidi" w:hAnsiTheme="majorBidi" w:cstheme="majorBidi"/>
          <w:lang w:bidi="ar-IQ"/>
        </w:rPr>
        <w:t xml:space="preserve"> </w:t>
      </w:r>
      <w:r w:rsidRPr="00FA7042">
        <w:rPr>
          <w:rFonts w:asciiTheme="majorBidi" w:hAnsiTheme="majorBidi" w:cstheme="majorBidi"/>
          <w:lang w:bidi="ar-IQ"/>
        </w:rPr>
        <w:t>63</w:t>
      </w:r>
      <w:r w:rsidR="00BB2EB7">
        <w:rPr>
          <w:rFonts w:asciiTheme="majorBidi" w:hAnsiTheme="majorBidi" w:cstheme="majorBidi"/>
          <w:lang w:bidi="ar-IQ"/>
        </w:rPr>
        <w:t xml:space="preserve"> </w:t>
      </w:r>
      <w:r w:rsidRPr="00FA7042">
        <w:rPr>
          <w:rFonts w:asciiTheme="majorBidi" w:hAnsiTheme="majorBidi" w:cstheme="majorBidi"/>
          <w:lang w:bidi="ar-IQ"/>
        </w:rPr>
        <w:t>years) and with duration of employment from (5</w:t>
      </w:r>
      <w:r w:rsidR="00BB2EB7">
        <w:rPr>
          <w:rFonts w:asciiTheme="majorBidi" w:hAnsiTheme="majorBidi" w:cstheme="majorBidi"/>
          <w:lang w:bidi="ar-IQ"/>
        </w:rPr>
        <w:t xml:space="preserve"> </w:t>
      </w:r>
      <w:r w:rsidRPr="00FA7042">
        <w:rPr>
          <w:rFonts w:asciiTheme="majorBidi" w:hAnsiTheme="majorBidi" w:cstheme="majorBidi"/>
          <w:lang w:bidi="ar-IQ"/>
        </w:rPr>
        <w:t>to</w:t>
      </w:r>
      <w:r w:rsidR="00BB2EB7">
        <w:rPr>
          <w:rFonts w:asciiTheme="majorBidi" w:hAnsiTheme="majorBidi" w:cstheme="majorBidi"/>
          <w:lang w:bidi="ar-IQ"/>
        </w:rPr>
        <w:t xml:space="preserve"> </w:t>
      </w:r>
      <w:r w:rsidRPr="00FA7042">
        <w:rPr>
          <w:rFonts w:asciiTheme="majorBidi" w:hAnsiTheme="majorBidi" w:cstheme="majorBidi"/>
          <w:lang w:bidi="ar-IQ"/>
        </w:rPr>
        <w:t>25</w:t>
      </w:r>
      <w:r w:rsidR="00BB2EB7">
        <w:rPr>
          <w:rFonts w:asciiTheme="majorBidi" w:hAnsiTheme="majorBidi" w:cstheme="majorBidi"/>
          <w:lang w:bidi="ar-IQ"/>
        </w:rPr>
        <w:t xml:space="preserve"> </w:t>
      </w:r>
      <w:r w:rsidRPr="00FA7042">
        <w:rPr>
          <w:rFonts w:asciiTheme="majorBidi" w:hAnsiTheme="majorBidi" w:cstheme="majorBidi"/>
          <w:lang w:bidi="ar-IQ"/>
        </w:rPr>
        <w:t>years), were given a number from 9</w:t>
      </w:r>
      <w:r w:rsidR="00BB2EB7">
        <w:rPr>
          <w:rFonts w:asciiTheme="majorBidi" w:hAnsiTheme="majorBidi" w:cstheme="majorBidi"/>
          <w:lang w:bidi="ar-IQ"/>
        </w:rPr>
        <w:t xml:space="preserve"> </w:t>
      </w:r>
      <w:r w:rsidRPr="00FA7042">
        <w:rPr>
          <w:rFonts w:asciiTheme="majorBidi" w:hAnsiTheme="majorBidi" w:cstheme="majorBidi"/>
          <w:lang w:bidi="ar-IQ"/>
        </w:rPr>
        <w:t>to</w:t>
      </w:r>
      <w:r w:rsidR="00BB2EB7">
        <w:rPr>
          <w:rFonts w:asciiTheme="majorBidi" w:hAnsiTheme="majorBidi" w:cstheme="majorBidi"/>
          <w:lang w:bidi="ar-IQ"/>
        </w:rPr>
        <w:t xml:space="preserve"> </w:t>
      </w:r>
      <w:r w:rsidRPr="00FA7042">
        <w:rPr>
          <w:rFonts w:asciiTheme="majorBidi" w:hAnsiTheme="majorBidi" w:cstheme="majorBidi"/>
          <w:lang w:bidi="ar-IQ"/>
        </w:rPr>
        <w:t>36 as in Table</w:t>
      </w:r>
      <w:r w:rsidR="00BB2EB7">
        <w:rPr>
          <w:rFonts w:asciiTheme="majorBidi" w:hAnsiTheme="majorBidi" w:cstheme="majorBidi"/>
          <w:lang w:bidi="ar-IQ"/>
        </w:rPr>
        <w:t xml:space="preserve"> </w:t>
      </w:r>
      <w:r w:rsidRPr="00FA7042">
        <w:rPr>
          <w:rFonts w:asciiTheme="majorBidi" w:hAnsiTheme="majorBidi" w:cstheme="majorBidi"/>
          <w:lang w:bidi="ar-IQ"/>
        </w:rPr>
        <w:t>2. The maximum and minimum obtained values of uranium concentrations were (0.109</w:t>
      </w:r>
      <w:r w:rsidR="00BB2EB7">
        <w:rPr>
          <w:rFonts w:asciiTheme="majorBidi" w:hAnsiTheme="majorBidi" w:cstheme="majorBidi"/>
          <w:lang w:bidi="ar-IQ"/>
        </w:rPr>
        <w:t xml:space="preserve"> </w:t>
      </w:r>
      <w:r w:rsidRPr="00FA7042">
        <w:rPr>
          <w:rFonts w:asciiTheme="majorBidi" w:hAnsiTheme="majorBidi" w:cstheme="majorBidi"/>
          <w:lang w:bidi="ar-IQ"/>
        </w:rPr>
        <w:t>±</w:t>
      </w:r>
      <w:r w:rsidR="00BB2EB7">
        <w:rPr>
          <w:rFonts w:asciiTheme="majorBidi" w:hAnsiTheme="majorBidi" w:cstheme="majorBidi"/>
          <w:lang w:bidi="ar-IQ"/>
        </w:rPr>
        <w:t xml:space="preserve"> </w:t>
      </w:r>
      <w:r w:rsidRPr="00FA7042">
        <w:rPr>
          <w:rFonts w:asciiTheme="majorBidi" w:hAnsiTheme="majorBidi" w:cstheme="majorBidi"/>
          <w:lang w:bidi="ar-IQ"/>
        </w:rPr>
        <w:t>0.015ppb) and (0.076</w:t>
      </w:r>
      <w:r w:rsidR="00BB2EB7">
        <w:rPr>
          <w:rFonts w:asciiTheme="majorBidi" w:hAnsiTheme="majorBidi" w:cstheme="majorBidi"/>
          <w:lang w:bidi="ar-IQ"/>
        </w:rPr>
        <w:t xml:space="preserve"> </w:t>
      </w:r>
      <w:r w:rsidRPr="00FA7042">
        <w:rPr>
          <w:rFonts w:asciiTheme="majorBidi" w:hAnsiTheme="majorBidi" w:cstheme="majorBidi"/>
          <w:lang w:bidi="ar-IQ"/>
        </w:rPr>
        <w:t>±</w:t>
      </w:r>
      <w:r w:rsidR="00BB2EB7">
        <w:rPr>
          <w:rFonts w:asciiTheme="majorBidi" w:hAnsiTheme="majorBidi" w:cstheme="majorBidi"/>
          <w:lang w:bidi="ar-IQ"/>
        </w:rPr>
        <w:t xml:space="preserve"> </w:t>
      </w:r>
      <w:r w:rsidRPr="00FA7042">
        <w:rPr>
          <w:rFonts w:asciiTheme="majorBidi" w:hAnsiTheme="majorBidi" w:cstheme="majorBidi"/>
          <w:lang w:bidi="ar-IQ"/>
        </w:rPr>
        <w:t>0.007</w:t>
      </w:r>
      <w:r w:rsidR="00BB2EB7">
        <w:rPr>
          <w:rFonts w:asciiTheme="majorBidi" w:hAnsiTheme="majorBidi" w:cstheme="majorBidi"/>
          <w:lang w:bidi="ar-IQ"/>
        </w:rPr>
        <w:t xml:space="preserve"> </w:t>
      </w:r>
      <w:r w:rsidRPr="00FA7042">
        <w:rPr>
          <w:rFonts w:asciiTheme="majorBidi" w:hAnsiTheme="majorBidi" w:cstheme="majorBidi"/>
          <w:lang w:bidi="ar-IQ"/>
        </w:rPr>
        <w:t>ppb) respectively with an average of (0.090</w:t>
      </w:r>
      <w:r w:rsidR="00BB2EB7">
        <w:rPr>
          <w:rFonts w:asciiTheme="majorBidi" w:hAnsiTheme="majorBidi" w:cstheme="majorBidi"/>
          <w:lang w:bidi="ar-IQ"/>
        </w:rPr>
        <w:t xml:space="preserve"> </w:t>
      </w:r>
      <w:r w:rsidRPr="00FA7042">
        <w:rPr>
          <w:rFonts w:asciiTheme="majorBidi" w:hAnsiTheme="majorBidi" w:cstheme="majorBidi"/>
          <w:lang w:bidi="ar-IQ"/>
        </w:rPr>
        <w:t>±</w:t>
      </w:r>
      <w:r w:rsidR="00BB2EB7">
        <w:rPr>
          <w:rFonts w:asciiTheme="majorBidi" w:hAnsiTheme="majorBidi" w:cstheme="majorBidi"/>
          <w:lang w:bidi="ar-IQ"/>
        </w:rPr>
        <w:t xml:space="preserve"> </w:t>
      </w:r>
      <w:r w:rsidRPr="00FA7042">
        <w:rPr>
          <w:rFonts w:asciiTheme="majorBidi" w:hAnsiTheme="majorBidi" w:cstheme="majorBidi"/>
          <w:lang w:bidi="ar-IQ"/>
        </w:rPr>
        <w:t>0.009</w:t>
      </w:r>
      <w:r w:rsidR="00BB2EB7">
        <w:rPr>
          <w:rFonts w:asciiTheme="majorBidi" w:hAnsiTheme="majorBidi" w:cstheme="majorBidi"/>
          <w:lang w:bidi="ar-IQ"/>
        </w:rPr>
        <w:t xml:space="preserve"> ppb)</w:t>
      </w:r>
      <w:r w:rsidRPr="00FA7042">
        <w:rPr>
          <w:rFonts w:asciiTheme="majorBidi" w:hAnsiTheme="majorBidi" w:cstheme="majorBidi"/>
          <w:lang w:bidi="ar-IQ"/>
        </w:rPr>
        <w:t>. The track density was found in this group (3.687</w:t>
      </w:r>
      <w:r w:rsidR="00BB2EB7">
        <w:rPr>
          <w:rFonts w:asciiTheme="majorBidi" w:hAnsiTheme="majorBidi" w:cstheme="majorBidi"/>
          <w:lang w:bidi="ar-IQ"/>
        </w:rPr>
        <w:t xml:space="preserve"> </w:t>
      </w:r>
      <w:r w:rsidRPr="00FA7042">
        <w:rPr>
          <w:rFonts w:asciiTheme="majorBidi" w:hAnsiTheme="majorBidi" w:cstheme="majorBidi"/>
          <w:lang w:bidi="ar-IQ"/>
        </w:rPr>
        <w:t>±</w:t>
      </w:r>
      <w:r w:rsidR="00BB2EB7">
        <w:rPr>
          <w:rFonts w:asciiTheme="majorBidi" w:hAnsiTheme="majorBidi" w:cstheme="majorBidi"/>
          <w:lang w:bidi="ar-IQ"/>
        </w:rPr>
        <w:t xml:space="preserve"> </w:t>
      </w:r>
      <w:r w:rsidRPr="00FA7042">
        <w:rPr>
          <w:rFonts w:asciiTheme="majorBidi" w:hAnsiTheme="majorBidi" w:cstheme="majorBidi"/>
          <w:lang w:bidi="ar-IQ"/>
        </w:rPr>
        <w:t>0.628) Fig</w:t>
      </w:r>
      <w:r w:rsidR="00BB2EB7">
        <w:rPr>
          <w:rFonts w:asciiTheme="majorBidi" w:hAnsiTheme="majorBidi" w:cstheme="majorBidi"/>
          <w:lang w:bidi="ar-IQ"/>
        </w:rPr>
        <w:t xml:space="preserve"> </w:t>
      </w:r>
      <w:r w:rsidRPr="00FA7042">
        <w:rPr>
          <w:rFonts w:asciiTheme="majorBidi" w:hAnsiTheme="majorBidi" w:cstheme="majorBidi"/>
          <w:lang w:bidi="ar-IQ"/>
        </w:rPr>
        <w:t>2</w:t>
      </w:r>
      <w:r w:rsidR="00BB2EB7">
        <w:rPr>
          <w:rFonts w:asciiTheme="majorBidi" w:hAnsiTheme="majorBidi" w:cstheme="majorBidi"/>
          <w:lang w:bidi="ar-IQ"/>
        </w:rPr>
        <w:t xml:space="preserve"> </w:t>
      </w:r>
      <w:r w:rsidRPr="00FA7042">
        <w:rPr>
          <w:rFonts w:asciiTheme="majorBidi" w:hAnsiTheme="majorBidi" w:cstheme="majorBidi"/>
          <w:lang w:bidi="ar-IQ"/>
        </w:rPr>
        <w:t>B. For the control group, the samples were collected from</w:t>
      </w:r>
      <w:r w:rsidR="00BB2EB7">
        <w:rPr>
          <w:rFonts w:asciiTheme="majorBidi" w:hAnsiTheme="majorBidi" w:cstheme="majorBidi"/>
          <w:lang w:bidi="ar-IQ"/>
        </w:rPr>
        <w:t xml:space="preserve"> </w:t>
      </w:r>
      <w:r w:rsidRPr="00FA7042">
        <w:rPr>
          <w:rFonts w:asciiTheme="majorBidi" w:hAnsiTheme="majorBidi" w:cstheme="majorBidi"/>
          <w:lang w:bidi="ar-IQ"/>
        </w:rPr>
        <w:t>30 individuals who had never dealt with uranium with aged between (30</w:t>
      </w:r>
      <w:r w:rsidR="00BB2EB7">
        <w:rPr>
          <w:rFonts w:asciiTheme="majorBidi" w:hAnsiTheme="majorBidi" w:cstheme="majorBidi"/>
          <w:lang w:bidi="ar-IQ"/>
        </w:rPr>
        <w:t xml:space="preserve"> </w:t>
      </w:r>
      <w:r w:rsidRPr="00FA7042">
        <w:rPr>
          <w:rFonts w:asciiTheme="majorBidi" w:hAnsiTheme="majorBidi" w:cstheme="majorBidi"/>
          <w:lang w:bidi="ar-IQ"/>
        </w:rPr>
        <w:t>to</w:t>
      </w:r>
      <w:r w:rsidR="00BB2EB7">
        <w:rPr>
          <w:rFonts w:asciiTheme="majorBidi" w:hAnsiTheme="majorBidi" w:cstheme="majorBidi"/>
          <w:lang w:bidi="ar-IQ"/>
        </w:rPr>
        <w:t xml:space="preserve"> </w:t>
      </w:r>
      <w:r w:rsidRPr="00FA7042">
        <w:rPr>
          <w:rFonts w:asciiTheme="majorBidi" w:hAnsiTheme="majorBidi" w:cstheme="majorBidi"/>
          <w:lang w:bidi="ar-IQ"/>
        </w:rPr>
        <w:t>58</w:t>
      </w:r>
      <w:r w:rsidR="00BB2EB7">
        <w:rPr>
          <w:rFonts w:asciiTheme="majorBidi" w:hAnsiTheme="majorBidi" w:cstheme="majorBidi"/>
          <w:lang w:bidi="ar-IQ"/>
        </w:rPr>
        <w:t xml:space="preserve"> </w:t>
      </w:r>
      <w:r w:rsidRPr="00FA7042">
        <w:rPr>
          <w:rFonts w:asciiTheme="majorBidi" w:hAnsiTheme="majorBidi" w:cstheme="majorBidi"/>
          <w:lang w:bidi="ar-IQ"/>
        </w:rPr>
        <w:t>years</w:t>
      </w:r>
      <w:r w:rsidR="00BB2EB7">
        <w:rPr>
          <w:rFonts w:asciiTheme="majorBidi" w:hAnsiTheme="majorBidi" w:cstheme="majorBidi"/>
          <w:lang w:bidi="ar-IQ"/>
        </w:rPr>
        <w:t xml:space="preserve"> </w:t>
      </w:r>
      <w:r w:rsidRPr="00FA7042">
        <w:rPr>
          <w:rFonts w:asciiTheme="majorBidi" w:hAnsiTheme="majorBidi" w:cstheme="majorBidi"/>
          <w:lang w:bidi="ar-IQ"/>
        </w:rPr>
        <w:t>old)</w:t>
      </w:r>
      <w:proofErr w:type="gramStart"/>
      <w:r w:rsidRPr="00FA7042">
        <w:rPr>
          <w:rFonts w:asciiTheme="majorBidi" w:hAnsiTheme="majorBidi" w:cstheme="majorBidi"/>
          <w:lang w:bidi="ar-IQ"/>
        </w:rPr>
        <w:t>,</w:t>
      </w:r>
      <w:proofErr w:type="gramEnd"/>
      <w:r w:rsidRPr="00FA7042">
        <w:rPr>
          <w:rFonts w:asciiTheme="majorBidi" w:hAnsiTheme="majorBidi" w:cstheme="majorBidi"/>
          <w:lang w:bidi="ar-IQ"/>
        </w:rPr>
        <w:t xml:space="preserve"> they were given number from 37</w:t>
      </w:r>
      <w:r w:rsidR="00BB2EB7">
        <w:rPr>
          <w:rFonts w:asciiTheme="majorBidi" w:hAnsiTheme="majorBidi" w:cstheme="majorBidi"/>
          <w:lang w:bidi="ar-IQ"/>
        </w:rPr>
        <w:t xml:space="preserve"> </w:t>
      </w:r>
      <w:r w:rsidRPr="00FA7042">
        <w:rPr>
          <w:rFonts w:asciiTheme="majorBidi" w:hAnsiTheme="majorBidi" w:cstheme="majorBidi"/>
          <w:lang w:bidi="ar-IQ"/>
        </w:rPr>
        <w:t>to 66 as in Table</w:t>
      </w:r>
      <w:r w:rsidR="00BB2EB7">
        <w:rPr>
          <w:rFonts w:asciiTheme="majorBidi" w:hAnsiTheme="majorBidi" w:cstheme="majorBidi"/>
          <w:lang w:bidi="ar-IQ"/>
        </w:rPr>
        <w:t xml:space="preserve"> </w:t>
      </w:r>
      <w:r w:rsidRPr="00FA7042">
        <w:rPr>
          <w:rFonts w:asciiTheme="majorBidi" w:hAnsiTheme="majorBidi" w:cstheme="majorBidi"/>
          <w:lang w:bidi="ar-IQ"/>
        </w:rPr>
        <w:t>3. The maximum and minimum obtained values of uranium concentrations were (0.086</w:t>
      </w:r>
      <w:r w:rsidR="00BB2EB7">
        <w:rPr>
          <w:rFonts w:asciiTheme="majorBidi" w:hAnsiTheme="majorBidi" w:cstheme="majorBidi"/>
          <w:lang w:bidi="ar-IQ"/>
        </w:rPr>
        <w:t xml:space="preserve"> </w:t>
      </w:r>
      <w:r w:rsidRPr="00FA7042">
        <w:rPr>
          <w:rFonts w:asciiTheme="majorBidi" w:hAnsiTheme="majorBidi" w:cstheme="majorBidi"/>
          <w:lang w:bidi="ar-IQ"/>
        </w:rPr>
        <w:t>±</w:t>
      </w:r>
      <w:r w:rsidR="00BB2EB7">
        <w:rPr>
          <w:rFonts w:asciiTheme="majorBidi" w:hAnsiTheme="majorBidi" w:cstheme="majorBidi"/>
          <w:lang w:bidi="ar-IQ"/>
        </w:rPr>
        <w:t xml:space="preserve"> </w:t>
      </w:r>
      <w:r w:rsidRPr="00FA7042">
        <w:rPr>
          <w:rFonts w:asciiTheme="majorBidi" w:hAnsiTheme="majorBidi" w:cstheme="majorBidi"/>
          <w:lang w:bidi="ar-IQ"/>
        </w:rPr>
        <w:t>0.012</w:t>
      </w:r>
      <w:r w:rsidR="00BB2EB7">
        <w:rPr>
          <w:rFonts w:asciiTheme="majorBidi" w:hAnsiTheme="majorBidi" w:cstheme="majorBidi"/>
          <w:lang w:bidi="ar-IQ"/>
        </w:rPr>
        <w:t xml:space="preserve"> </w:t>
      </w:r>
      <w:r w:rsidRPr="00FA7042">
        <w:rPr>
          <w:rFonts w:asciiTheme="majorBidi" w:hAnsiTheme="majorBidi" w:cstheme="majorBidi"/>
          <w:lang w:bidi="ar-IQ"/>
        </w:rPr>
        <w:t>ppb) and (0.025</w:t>
      </w:r>
      <w:r w:rsidR="00BB2EB7">
        <w:rPr>
          <w:rFonts w:asciiTheme="majorBidi" w:hAnsiTheme="majorBidi" w:cstheme="majorBidi"/>
          <w:lang w:bidi="ar-IQ"/>
        </w:rPr>
        <w:t xml:space="preserve"> </w:t>
      </w:r>
      <w:r w:rsidRPr="00FA7042">
        <w:rPr>
          <w:rFonts w:asciiTheme="majorBidi" w:hAnsiTheme="majorBidi" w:cstheme="majorBidi"/>
          <w:lang w:bidi="ar-IQ"/>
        </w:rPr>
        <w:t>±</w:t>
      </w:r>
      <w:r w:rsidR="00BB2EB7">
        <w:rPr>
          <w:rFonts w:asciiTheme="majorBidi" w:hAnsiTheme="majorBidi" w:cstheme="majorBidi"/>
          <w:lang w:bidi="ar-IQ"/>
        </w:rPr>
        <w:t xml:space="preserve"> </w:t>
      </w:r>
      <w:r w:rsidRPr="00FA7042">
        <w:rPr>
          <w:rFonts w:asciiTheme="majorBidi" w:hAnsiTheme="majorBidi" w:cstheme="majorBidi"/>
          <w:lang w:bidi="ar-IQ"/>
        </w:rPr>
        <w:t>0.005</w:t>
      </w:r>
      <w:r w:rsidR="00BB2EB7">
        <w:rPr>
          <w:rFonts w:asciiTheme="majorBidi" w:hAnsiTheme="majorBidi" w:cstheme="majorBidi"/>
          <w:lang w:bidi="ar-IQ"/>
        </w:rPr>
        <w:t xml:space="preserve"> </w:t>
      </w:r>
      <w:r w:rsidRPr="00FA7042">
        <w:rPr>
          <w:rFonts w:asciiTheme="majorBidi" w:hAnsiTheme="majorBidi" w:cstheme="majorBidi"/>
          <w:lang w:bidi="ar-IQ"/>
        </w:rPr>
        <w:t>ppb) respectively with an average of (0.056</w:t>
      </w:r>
      <w:r w:rsidR="00BB2EB7">
        <w:rPr>
          <w:rFonts w:asciiTheme="majorBidi" w:hAnsiTheme="majorBidi" w:cstheme="majorBidi"/>
          <w:lang w:bidi="ar-IQ"/>
        </w:rPr>
        <w:t xml:space="preserve"> </w:t>
      </w:r>
      <w:r w:rsidRPr="00FA7042">
        <w:rPr>
          <w:rFonts w:asciiTheme="majorBidi" w:hAnsiTheme="majorBidi" w:cstheme="majorBidi"/>
          <w:lang w:bidi="ar-IQ"/>
        </w:rPr>
        <w:t>±</w:t>
      </w:r>
      <w:r w:rsidR="00BB2EB7">
        <w:rPr>
          <w:rFonts w:asciiTheme="majorBidi" w:hAnsiTheme="majorBidi" w:cstheme="majorBidi"/>
          <w:lang w:bidi="ar-IQ"/>
        </w:rPr>
        <w:t xml:space="preserve"> </w:t>
      </w:r>
      <w:r w:rsidRPr="00FA7042">
        <w:rPr>
          <w:rFonts w:asciiTheme="majorBidi" w:hAnsiTheme="majorBidi" w:cstheme="majorBidi"/>
          <w:lang w:bidi="ar-IQ"/>
        </w:rPr>
        <w:t>0.015</w:t>
      </w:r>
      <w:r w:rsidR="00BB2EB7">
        <w:rPr>
          <w:rFonts w:asciiTheme="majorBidi" w:hAnsiTheme="majorBidi" w:cstheme="majorBidi"/>
          <w:lang w:bidi="ar-IQ"/>
        </w:rPr>
        <w:t xml:space="preserve"> </w:t>
      </w:r>
      <w:r w:rsidRPr="00FA7042">
        <w:rPr>
          <w:rFonts w:asciiTheme="majorBidi" w:hAnsiTheme="majorBidi" w:cstheme="majorBidi"/>
          <w:lang w:bidi="ar-IQ"/>
        </w:rPr>
        <w:t>ppb). The track density for the control group was found to be less than the personnel (2.393</w:t>
      </w:r>
      <w:r w:rsidR="00BB2EB7">
        <w:rPr>
          <w:rFonts w:asciiTheme="majorBidi" w:hAnsiTheme="majorBidi" w:cstheme="majorBidi"/>
          <w:lang w:bidi="ar-IQ"/>
        </w:rPr>
        <w:t xml:space="preserve"> </w:t>
      </w:r>
      <w:r w:rsidRPr="00FA7042">
        <w:rPr>
          <w:rFonts w:asciiTheme="majorBidi" w:hAnsiTheme="majorBidi" w:cstheme="majorBidi"/>
          <w:lang w:bidi="ar-IQ"/>
        </w:rPr>
        <w:t>±</w:t>
      </w:r>
      <w:r w:rsidR="00BB2EB7">
        <w:rPr>
          <w:rFonts w:asciiTheme="majorBidi" w:hAnsiTheme="majorBidi" w:cstheme="majorBidi"/>
          <w:lang w:bidi="ar-IQ"/>
        </w:rPr>
        <w:t xml:space="preserve"> </w:t>
      </w:r>
      <w:r w:rsidRPr="00FA7042">
        <w:rPr>
          <w:rFonts w:asciiTheme="majorBidi" w:hAnsiTheme="majorBidi" w:cstheme="majorBidi"/>
          <w:lang w:bidi="ar-IQ"/>
        </w:rPr>
        <w:t>0.975)</w:t>
      </w:r>
      <w:r w:rsidR="00BB2EB7">
        <w:rPr>
          <w:rFonts w:asciiTheme="majorBidi" w:hAnsiTheme="majorBidi" w:cstheme="majorBidi"/>
          <w:lang w:bidi="ar-IQ"/>
        </w:rPr>
        <w:t xml:space="preserve"> </w:t>
      </w:r>
      <w:r w:rsidRPr="00FA7042">
        <w:rPr>
          <w:rFonts w:asciiTheme="majorBidi" w:hAnsiTheme="majorBidi" w:cstheme="majorBidi"/>
          <w:lang w:bidi="ar-IQ"/>
        </w:rPr>
        <w:t>Fig</w:t>
      </w:r>
      <w:r w:rsidR="00BB2EB7">
        <w:rPr>
          <w:rFonts w:asciiTheme="majorBidi" w:hAnsiTheme="majorBidi" w:cstheme="majorBidi"/>
          <w:lang w:bidi="ar-IQ"/>
        </w:rPr>
        <w:t xml:space="preserve"> </w:t>
      </w:r>
      <w:r w:rsidRPr="00FA7042">
        <w:rPr>
          <w:rFonts w:asciiTheme="majorBidi" w:hAnsiTheme="majorBidi" w:cstheme="majorBidi"/>
          <w:lang w:bidi="ar-IQ"/>
        </w:rPr>
        <w:t>2c</w:t>
      </w:r>
      <w:r w:rsidR="00BB2EB7">
        <w:rPr>
          <w:rFonts w:asciiTheme="majorBidi" w:hAnsiTheme="majorBidi" w:cstheme="majorBidi"/>
          <w:lang w:bidi="ar-IQ"/>
        </w:rPr>
        <w:t xml:space="preserve">. </w:t>
      </w:r>
    </w:p>
    <w:p w:rsidR="005870C7" w:rsidRPr="00BB2EB7" w:rsidRDefault="005870C7" w:rsidP="00377844">
      <w:pPr>
        <w:jc w:val="lowKashida"/>
        <w:rPr>
          <w:rFonts w:asciiTheme="majorBidi" w:hAnsiTheme="majorBidi" w:cstheme="majorBidi"/>
          <w:sz w:val="12"/>
          <w:szCs w:val="12"/>
          <w:lang w:bidi="ar-IQ"/>
        </w:rPr>
      </w:pPr>
    </w:p>
    <w:p w:rsidR="006625BF" w:rsidRDefault="006625BF" w:rsidP="00377844">
      <w:pPr>
        <w:jc w:val="both"/>
        <w:rPr>
          <w:rFonts w:asciiTheme="majorBidi" w:hAnsiTheme="majorBidi" w:cstheme="majorBidi"/>
        </w:rPr>
      </w:pPr>
      <w:r w:rsidRPr="00265D06">
        <w:rPr>
          <w:rFonts w:asciiTheme="majorBidi" w:hAnsiTheme="majorBidi" w:cstheme="majorBidi"/>
          <w:b/>
          <w:bCs/>
        </w:rPr>
        <w:t>Table1</w:t>
      </w:r>
      <w:r w:rsidRPr="00FA7042">
        <w:rPr>
          <w:rFonts w:asciiTheme="majorBidi" w:hAnsiTheme="majorBidi" w:cstheme="majorBidi"/>
        </w:rPr>
        <w:t>:</w:t>
      </w:r>
      <w:r w:rsidR="00924E38">
        <w:rPr>
          <w:rFonts w:asciiTheme="majorBidi" w:hAnsiTheme="majorBidi" w:cstheme="majorBidi"/>
        </w:rPr>
        <w:t xml:space="preserve"> </w:t>
      </w:r>
      <w:r w:rsidRPr="00FA7042">
        <w:rPr>
          <w:rFonts w:asciiTheme="majorBidi" w:hAnsiTheme="majorBidi" w:cstheme="majorBidi"/>
        </w:rPr>
        <w:t xml:space="preserve">Sample number, age, duration of employment, track densities and uranium concentration (ppb) for personnel </w:t>
      </w:r>
      <w:r w:rsidRPr="00FA7042">
        <w:rPr>
          <w:rFonts w:asciiTheme="majorBidi" w:hAnsiTheme="majorBidi" w:cstheme="majorBidi"/>
          <w:color w:val="0E101A"/>
        </w:rPr>
        <w:t>lacking protective measures</w:t>
      </w:r>
      <w:r w:rsidRPr="00FA7042">
        <w:rPr>
          <w:rFonts w:asciiTheme="majorBidi" w:hAnsiTheme="majorBidi" w:cstheme="majorBidi"/>
        </w:rPr>
        <w:t>.</w:t>
      </w:r>
      <w:r w:rsidR="00924E38">
        <w:rPr>
          <w:rFonts w:asciiTheme="majorBidi" w:hAnsiTheme="majorBidi" w:cstheme="majorBidi"/>
        </w:rPr>
        <w:t xml:space="preserve"> </w:t>
      </w:r>
    </w:p>
    <w:p w:rsidR="00924E38" w:rsidRPr="00924E38" w:rsidRDefault="00924E38" w:rsidP="00377844">
      <w:pPr>
        <w:jc w:val="both"/>
        <w:rPr>
          <w:rFonts w:asciiTheme="majorBidi" w:hAnsiTheme="majorBidi" w:cstheme="majorBidi"/>
          <w:sz w:val="8"/>
          <w:szCs w:val="8"/>
        </w:rPr>
      </w:pPr>
    </w:p>
    <w:tbl>
      <w:tblPr>
        <w:tblpPr w:leftFromText="180" w:rightFromText="180" w:vertAnchor="text" w:horzAnchor="margin" w:tblpY="123"/>
        <w:tblW w:w="0" w:type="auto"/>
        <w:tblLook w:val="01E0" w:firstRow="1" w:lastRow="1" w:firstColumn="1" w:lastColumn="1" w:noHBand="0" w:noVBand="0"/>
      </w:tblPr>
      <w:tblGrid>
        <w:gridCol w:w="739"/>
      </w:tblGrid>
      <w:tr w:rsidR="006625BF" w:rsidRPr="00FA7042" w:rsidTr="00FC7E2A">
        <w:trPr>
          <w:trHeight w:val="730"/>
        </w:trPr>
        <w:tc>
          <w:tcPr>
            <w:tcW w:w="739" w:type="dxa"/>
            <w:shd w:val="clear" w:color="auto" w:fill="auto"/>
          </w:tcPr>
          <w:p w:rsidR="006625BF" w:rsidRPr="00FA7042" w:rsidRDefault="006625BF" w:rsidP="00D661DC">
            <w:pPr>
              <w:pStyle w:val="BodyText"/>
              <w:jc w:val="center"/>
              <w:rPr>
                <w:i/>
                <w:sz w:val="20"/>
                <w:szCs w:val="20"/>
              </w:rPr>
            </w:pPr>
          </w:p>
        </w:tc>
      </w:tr>
    </w:tbl>
    <w:p w:rsidR="006625BF" w:rsidRPr="00FA7042" w:rsidRDefault="006625BF" w:rsidP="00D661DC">
      <w:pPr>
        <w:pStyle w:val="Heading1"/>
        <w:spacing w:before="0"/>
        <w:ind w:left="0"/>
        <w:jc w:val="center"/>
        <w:rPr>
          <w:rFonts w:asciiTheme="majorBidi" w:hAnsiTheme="majorBidi" w:cstheme="majorBidi"/>
          <w:sz w:val="20"/>
          <w:szCs w:val="20"/>
        </w:rPr>
      </w:pPr>
    </w:p>
    <w:tbl>
      <w:tblPr>
        <w:tblStyle w:val="TableGrid"/>
        <w:tblW w:w="0" w:type="auto"/>
        <w:tblInd w:w="392" w:type="dxa"/>
        <w:tblLook w:val="04A0" w:firstRow="1" w:lastRow="0" w:firstColumn="1" w:lastColumn="0" w:noHBand="0" w:noVBand="1"/>
      </w:tblPr>
      <w:tblGrid>
        <w:gridCol w:w="1471"/>
        <w:gridCol w:w="1057"/>
        <w:gridCol w:w="1769"/>
        <w:gridCol w:w="1270"/>
        <w:gridCol w:w="1747"/>
      </w:tblGrid>
      <w:tr w:rsidR="006625BF" w:rsidRPr="00FA7042" w:rsidTr="00C44F53">
        <w:trPr>
          <w:trHeight w:val="432"/>
        </w:trPr>
        <w:tc>
          <w:tcPr>
            <w:tcW w:w="1471" w:type="dxa"/>
          </w:tcPr>
          <w:p w:rsidR="006625BF" w:rsidRPr="00FA7042" w:rsidRDefault="006625BF" w:rsidP="00D661DC">
            <w:pPr>
              <w:pStyle w:val="tablecolsubhead"/>
              <w:rPr>
                <w:b w:val="0"/>
                <w:i w:val="0"/>
                <w:sz w:val="20"/>
                <w:szCs w:val="20"/>
              </w:rPr>
            </w:pPr>
            <w:r w:rsidRPr="00FA7042">
              <w:rPr>
                <w:b w:val="0"/>
                <w:i w:val="0"/>
                <w:sz w:val="20"/>
                <w:szCs w:val="20"/>
              </w:rPr>
              <w:t>NO. of samples</w:t>
            </w:r>
          </w:p>
        </w:tc>
        <w:tc>
          <w:tcPr>
            <w:tcW w:w="1057" w:type="dxa"/>
          </w:tcPr>
          <w:p w:rsidR="006625BF" w:rsidRPr="00FA7042" w:rsidRDefault="006625BF" w:rsidP="00D661DC">
            <w:pPr>
              <w:pStyle w:val="tablecolsubhead"/>
              <w:rPr>
                <w:b w:val="0"/>
                <w:i w:val="0"/>
                <w:sz w:val="20"/>
                <w:szCs w:val="20"/>
              </w:rPr>
            </w:pPr>
            <w:r w:rsidRPr="00FA7042">
              <w:rPr>
                <w:b w:val="0"/>
                <w:i w:val="0"/>
                <w:sz w:val="20"/>
                <w:szCs w:val="20"/>
              </w:rPr>
              <w:t>Age(year)</w:t>
            </w:r>
          </w:p>
        </w:tc>
        <w:tc>
          <w:tcPr>
            <w:tcW w:w="1769" w:type="dxa"/>
          </w:tcPr>
          <w:p w:rsidR="006625BF" w:rsidRPr="00FA7042" w:rsidRDefault="006625BF" w:rsidP="00D661DC">
            <w:pPr>
              <w:pStyle w:val="tablecolsubhead"/>
              <w:rPr>
                <w:b w:val="0"/>
                <w:i w:val="0"/>
                <w:sz w:val="20"/>
                <w:szCs w:val="20"/>
              </w:rPr>
            </w:pPr>
            <w:r w:rsidRPr="00FA7042">
              <w:rPr>
                <w:b w:val="0"/>
                <w:i w:val="0"/>
                <w:sz w:val="20"/>
                <w:szCs w:val="20"/>
              </w:rPr>
              <w:t>Duration of employment(year)</w:t>
            </w:r>
          </w:p>
        </w:tc>
        <w:tc>
          <w:tcPr>
            <w:tcW w:w="1270" w:type="dxa"/>
          </w:tcPr>
          <w:p w:rsidR="006625BF" w:rsidRPr="00FA7042" w:rsidRDefault="006625BF" w:rsidP="00D661DC">
            <w:pPr>
              <w:jc w:val="center"/>
              <w:rPr>
                <w:rFonts w:asciiTheme="majorBidi" w:hAnsiTheme="majorBidi"/>
                <w:b/>
                <w:bCs/>
              </w:rPr>
            </w:pPr>
            <w:r w:rsidRPr="00FA7042">
              <w:rPr>
                <w:rFonts w:asciiTheme="majorBidi" w:hAnsiTheme="majorBidi"/>
              </w:rPr>
              <w:t>Track densities</w:t>
            </w:r>
          </w:p>
          <w:p w:rsidR="006625BF" w:rsidRPr="00FA7042" w:rsidRDefault="006625BF" w:rsidP="00D661DC">
            <w:pPr>
              <w:jc w:val="center"/>
              <w:rPr>
                <w:rFonts w:asciiTheme="majorBidi" w:hAnsiTheme="majorBidi"/>
                <w:b/>
                <w:bCs/>
              </w:rPr>
            </w:pPr>
            <w:r w:rsidRPr="00FA7042">
              <w:rPr>
                <w:rFonts w:asciiTheme="majorBidi" w:hAnsiTheme="majorBidi"/>
              </w:rPr>
              <w:t>(No. of tracks/mm</w:t>
            </w:r>
            <w:r w:rsidRPr="00FA7042">
              <w:rPr>
                <w:rFonts w:asciiTheme="majorBidi" w:hAnsiTheme="majorBidi"/>
                <w:vertAlign w:val="superscript"/>
              </w:rPr>
              <w:t>2</w:t>
            </w:r>
            <w:r w:rsidRPr="00FA7042">
              <w:rPr>
                <w:rFonts w:asciiTheme="majorBidi" w:hAnsiTheme="majorBidi"/>
              </w:rPr>
              <w:t>)</w:t>
            </w:r>
          </w:p>
          <w:p w:rsidR="006625BF" w:rsidRPr="00FA7042" w:rsidRDefault="006625BF" w:rsidP="00D661DC">
            <w:pPr>
              <w:pStyle w:val="tablecolsubhead"/>
              <w:rPr>
                <w:b w:val="0"/>
                <w:i w:val="0"/>
                <w:sz w:val="20"/>
                <w:szCs w:val="20"/>
              </w:rPr>
            </w:pPr>
            <w:r w:rsidRPr="00FA7042">
              <w:rPr>
                <w:rFonts w:asciiTheme="majorBidi" w:hAnsiTheme="majorBidi"/>
                <w:b w:val="0"/>
                <w:bCs w:val="0"/>
                <w:i w:val="0"/>
                <w:iCs w:val="0"/>
                <w:sz w:val="20"/>
                <w:szCs w:val="20"/>
              </w:rPr>
              <w:t>Mean± SD</w:t>
            </w:r>
          </w:p>
        </w:tc>
        <w:tc>
          <w:tcPr>
            <w:tcW w:w="1747" w:type="dxa"/>
          </w:tcPr>
          <w:p w:rsidR="006625BF" w:rsidRPr="00FA7042" w:rsidRDefault="006625BF" w:rsidP="00D661DC">
            <w:pPr>
              <w:jc w:val="center"/>
              <w:rPr>
                <w:rFonts w:asciiTheme="majorBidi" w:hAnsiTheme="majorBidi"/>
                <w:b/>
                <w:bCs/>
              </w:rPr>
            </w:pPr>
            <w:r w:rsidRPr="00FA7042">
              <w:rPr>
                <w:rFonts w:asciiTheme="majorBidi" w:hAnsiTheme="majorBidi"/>
              </w:rPr>
              <w:t>Uranium concentration(ppb)</w:t>
            </w:r>
          </w:p>
          <w:p w:rsidR="006625BF" w:rsidRPr="00FA7042" w:rsidRDefault="006625BF" w:rsidP="00D661DC">
            <w:pPr>
              <w:pStyle w:val="tablecolsubhead"/>
              <w:rPr>
                <w:b w:val="0"/>
                <w:i w:val="0"/>
                <w:sz w:val="20"/>
                <w:szCs w:val="20"/>
              </w:rPr>
            </w:pPr>
            <w:r w:rsidRPr="00FA7042">
              <w:rPr>
                <w:rFonts w:asciiTheme="majorBidi" w:hAnsiTheme="majorBidi"/>
                <w:b w:val="0"/>
                <w:bCs w:val="0"/>
                <w:i w:val="0"/>
                <w:iCs w:val="0"/>
                <w:sz w:val="20"/>
                <w:szCs w:val="20"/>
              </w:rPr>
              <w:t>Mean± SD</w:t>
            </w:r>
          </w:p>
        </w:tc>
      </w:tr>
      <w:tr w:rsidR="006625BF" w:rsidRPr="00FA7042" w:rsidTr="00C44F53">
        <w:trPr>
          <w:trHeight w:val="648"/>
        </w:trPr>
        <w:tc>
          <w:tcPr>
            <w:tcW w:w="1471" w:type="dxa"/>
          </w:tcPr>
          <w:p w:rsidR="006625BF" w:rsidRPr="00FA7042" w:rsidRDefault="006625BF" w:rsidP="00D661DC">
            <w:pPr>
              <w:jc w:val="center"/>
              <w:rPr>
                <w:rFonts w:asciiTheme="majorBidi" w:hAnsiTheme="majorBidi"/>
              </w:rPr>
            </w:pPr>
            <w:r w:rsidRPr="00FA7042">
              <w:rPr>
                <w:rFonts w:asciiTheme="majorBidi" w:hAnsiTheme="majorBidi"/>
              </w:rPr>
              <w:t>1</w:t>
            </w:r>
          </w:p>
        </w:tc>
        <w:tc>
          <w:tcPr>
            <w:tcW w:w="1057"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54</w:t>
            </w:r>
          </w:p>
        </w:tc>
        <w:tc>
          <w:tcPr>
            <w:tcW w:w="1769"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32</w:t>
            </w:r>
          </w:p>
        </w:tc>
        <w:tc>
          <w:tcPr>
            <w:tcW w:w="1270"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8.553±1.010</w:t>
            </w:r>
          </w:p>
        </w:tc>
        <w:tc>
          <w:tcPr>
            <w:tcW w:w="1747"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0.204±0.024</w:t>
            </w:r>
          </w:p>
        </w:tc>
      </w:tr>
      <w:tr w:rsidR="006625BF" w:rsidRPr="00FA7042" w:rsidTr="00C44F53">
        <w:trPr>
          <w:trHeight w:val="671"/>
        </w:trPr>
        <w:tc>
          <w:tcPr>
            <w:tcW w:w="1471" w:type="dxa"/>
          </w:tcPr>
          <w:p w:rsidR="006625BF" w:rsidRPr="00FA7042" w:rsidRDefault="006625BF" w:rsidP="00D661DC">
            <w:pPr>
              <w:jc w:val="center"/>
              <w:rPr>
                <w:rFonts w:asciiTheme="majorBidi" w:hAnsiTheme="majorBidi"/>
              </w:rPr>
            </w:pPr>
            <w:r w:rsidRPr="00FA7042">
              <w:rPr>
                <w:rFonts w:asciiTheme="majorBidi" w:hAnsiTheme="majorBidi"/>
              </w:rPr>
              <w:t>2</w:t>
            </w:r>
          </w:p>
        </w:tc>
        <w:tc>
          <w:tcPr>
            <w:tcW w:w="1057"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52</w:t>
            </w:r>
          </w:p>
        </w:tc>
        <w:tc>
          <w:tcPr>
            <w:tcW w:w="1769"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30</w:t>
            </w:r>
          </w:p>
        </w:tc>
        <w:tc>
          <w:tcPr>
            <w:tcW w:w="1270"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9.133±1.556</w:t>
            </w:r>
          </w:p>
        </w:tc>
        <w:tc>
          <w:tcPr>
            <w:tcW w:w="1747"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0.217±0.037</w:t>
            </w:r>
          </w:p>
        </w:tc>
      </w:tr>
      <w:tr w:rsidR="006625BF" w:rsidRPr="00FA7042" w:rsidTr="00C44F53">
        <w:trPr>
          <w:trHeight w:val="671"/>
        </w:trPr>
        <w:tc>
          <w:tcPr>
            <w:tcW w:w="1471" w:type="dxa"/>
          </w:tcPr>
          <w:p w:rsidR="006625BF" w:rsidRPr="00FA7042" w:rsidRDefault="006625BF" w:rsidP="00D661DC">
            <w:pPr>
              <w:jc w:val="center"/>
              <w:rPr>
                <w:rFonts w:asciiTheme="majorBidi" w:hAnsiTheme="majorBidi"/>
              </w:rPr>
            </w:pPr>
            <w:r w:rsidRPr="00FA7042">
              <w:rPr>
                <w:rFonts w:asciiTheme="majorBidi" w:hAnsiTheme="majorBidi"/>
              </w:rPr>
              <w:t>3</w:t>
            </w:r>
          </w:p>
        </w:tc>
        <w:tc>
          <w:tcPr>
            <w:tcW w:w="1057"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58</w:t>
            </w:r>
          </w:p>
        </w:tc>
        <w:tc>
          <w:tcPr>
            <w:tcW w:w="1769"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35</w:t>
            </w:r>
          </w:p>
        </w:tc>
        <w:tc>
          <w:tcPr>
            <w:tcW w:w="1270"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9.473±1.416</w:t>
            </w:r>
          </w:p>
        </w:tc>
        <w:tc>
          <w:tcPr>
            <w:tcW w:w="1747" w:type="dxa"/>
          </w:tcPr>
          <w:p w:rsidR="006625BF" w:rsidRPr="00FA7042" w:rsidRDefault="006625BF" w:rsidP="00D661DC">
            <w:pPr>
              <w:jc w:val="center"/>
              <w:rPr>
                <w:rFonts w:asciiTheme="majorBidi" w:hAnsiTheme="majorBidi" w:cstheme="majorBidi"/>
                <w:color w:val="000000"/>
                <w:rtl/>
                <w:lang w:bidi="ar-IQ"/>
              </w:rPr>
            </w:pPr>
            <w:r w:rsidRPr="00FA7042">
              <w:rPr>
                <w:rFonts w:asciiTheme="majorBidi" w:hAnsiTheme="majorBidi" w:cstheme="majorBidi"/>
                <w:color w:val="000000"/>
              </w:rPr>
              <w:t>0.226±0.034</w:t>
            </w:r>
          </w:p>
        </w:tc>
      </w:tr>
      <w:tr w:rsidR="006625BF" w:rsidRPr="00FA7042" w:rsidTr="00C44F53">
        <w:trPr>
          <w:trHeight w:val="671"/>
        </w:trPr>
        <w:tc>
          <w:tcPr>
            <w:tcW w:w="1471" w:type="dxa"/>
          </w:tcPr>
          <w:p w:rsidR="006625BF" w:rsidRPr="00FA7042" w:rsidRDefault="006625BF" w:rsidP="00D661DC">
            <w:pPr>
              <w:jc w:val="center"/>
              <w:rPr>
                <w:rFonts w:asciiTheme="majorBidi" w:hAnsiTheme="majorBidi"/>
              </w:rPr>
            </w:pPr>
            <w:r w:rsidRPr="00FA7042">
              <w:rPr>
                <w:rFonts w:asciiTheme="majorBidi" w:hAnsiTheme="majorBidi"/>
              </w:rPr>
              <w:t>4</w:t>
            </w:r>
          </w:p>
        </w:tc>
        <w:tc>
          <w:tcPr>
            <w:tcW w:w="1057"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52</w:t>
            </w:r>
          </w:p>
        </w:tc>
        <w:tc>
          <w:tcPr>
            <w:tcW w:w="1769"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30</w:t>
            </w:r>
          </w:p>
        </w:tc>
        <w:tc>
          <w:tcPr>
            <w:tcW w:w="1270"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8.960±2.152</w:t>
            </w:r>
          </w:p>
        </w:tc>
        <w:tc>
          <w:tcPr>
            <w:tcW w:w="1747"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0.213±0.051</w:t>
            </w:r>
          </w:p>
        </w:tc>
      </w:tr>
      <w:tr w:rsidR="006625BF" w:rsidRPr="00FA7042" w:rsidTr="00C44F53">
        <w:trPr>
          <w:trHeight w:val="671"/>
        </w:trPr>
        <w:tc>
          <w:tcPr>
            <w:tcW w:w="1471" w:type="dxa"/>
          </w:tcPr>
          <w:p w:rsidR="006625BF" w:rsidRPr="00FA7042" w:rsidRDefault="006625BF" w:rsidP="00D661DC">
            <w:pPr>
              <w:jc w:val="center"/>
              <w:rPr>
                <w:rFonts w:asciiTheme="majorBidi" w:hAnsiTheme="majorBidi"/>
              </w:rPr>
            </w:pPr>
            <w:r w:rsidRPr="00FA7042">
              <w:rPr>
                <w:rFonts w:asciiTheme="majorBidi" w:hAnsiTheme="majorBidi"/>
              </w:rPr>
              <w:t>5</w:t>
            </w:r>
          </w:p>
        </w:tc>
        <w:tc>
          <w:tcPr>
            <w:tcW w:w="1057"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54</w:t>
            </w:r>
          </w:p>
        </w:tc>
        <w:tc>
          <w:tcPr>
            <w:tcW w:w="1769"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32</w:t>
            </w:r>
          </w:p>
        </w:tc>
        <w:tc>
          <w:tcPr>
            <w:tcW w:w="1270"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8.133±1.078</w:t>
            </w:r>
          </w:p>
        </w:tc>
        <w:tc>
          <w:tcPr>
            <w:tcW w:w="1747"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0.194±0.026</w:t>
            </w:r>
          </w:p>
        </w:tc>
      </w:tr>
      <w:tr w:rsidR="006625BF" w:rsidRPr="00FA7042" w:rsidTr="00C44F53">
        <w:trPr>
          <w:trHeight w:val="671"/>
        </w:trPr>
        <w:tc>
          <w:tcPr>
            <w:tcW w:w="1471" w:type="dxa"/>
          </w:tcPr>
          <w:p w:rsidR="006625BF" w:rsidRPr="00FA7042" w:rsidRDefault="006625BF" w:rsidP="00D661DC">
            <w:pPr>
              <w:jc w:val="center"/>
              <w:rPr>
                <w:rFonts w:asciiTheme="majorBidi" w:hAnsiTheme="majorBidi"/>
              </w:rPr>
            </w:pPr>
            <w:r w:rsidRPr="00FA7042">
              <w:rPr>
                <w:rFonts w:asciiTheme="majorBidi" w:hAnsiTheme="majorBidi"/>
              </w:rPr>
              <w:t>6</w:t>
            </w:r>
          </w:p>
        </w:tc>
        <w:tc>
          <w:tcPr>
            <w:tcW w:w="1057"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58</w:t>
            </w:r>
          </w:p>
        </w:tc>
        <w:tc>
          <w:tcPr>
            <w:tcW w:w="1769"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35</w:t>
            </w:r>
          </w:p>
        </w:tc>
        <w:tc>
          <w:tcPr>
            <w:tcW w:w="1270"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1.146±1.596</w:t>
            </w:r>
          </w:p>
        </w:tc>
        <w:tc>
          <w:tcPr>
            <w:tcW w:w="1747"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0.273±0.038</w:t>
            </w:r>
          </w:p>
        </w:tc>
      </w:tr>
      <w:tr w:rsidR="006625BF" w:rsidRPr="00FA7042" w:rsidTr="00C44F53">
        <w:trPr>
          <w:trHeight w:val="671"/>
        </w:trPr>
        <w:tc>
          <w:tcPr>
            <w:tcW w:w="1471" w:type="dxa"/>
          </w:tcPr>
          <w:p w:rsidR="006625BF" w:rsidRPr="00FA7042" w:rsidRDefault="006625BF" w:rsidP="00D661DC">
            <w:pPr>
              <w:jc w:val="center"/>
              <w:rPr>
                <w:rFonts w:asciiTheme="majorBidi" w:hAnsiTheme="majorBidi"/>
              </w:rPr>
            </w:pPr>
            <w:r w:rsidRPr="00FA7042">
              <w:rPr>
                <w:rFonts w:asciiTheme="majorBidi" w:hAnsiTheme="majorBidi"/>
              </w:rPr>
              <w:t>7</w:t>
            </w:r>
          </w:p>
        </w:tc>
        <w:tc>
          <w:tcPr>
            <w:tcW w:w="1057"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59</w:t>
            </w:r>
          </w:p>
        </w:tc>
        <w:tc>
          <w:tcPr>
            <w:tcW w:w="1769"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34</w:t>
            </w:r>
          </w:p>
        </w:tc>
        <w:tc>
          <w:tcPr>
            <w:tcW w:w="1270"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7.126±9.876</w:t>
            </w:r>
          </w:p>
        </w:tc>
        <w:tc>
          <w:tcPr>
            <w:tcW w:w="1747"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0.170±0.024</w:t>
            </w:r>
          </w:p>
        </w:tc>
      </w:tr>
      <w:tr w:rsidR="006625BF" w:rsidRPr="00FA7042" w:rsidTr="00C44F53">
        <w:trPr>
          <w:trHeight w:val="671"/>
        </w:trPr>
        <w:tc>
          <w:tcPr>
            <w:tcW w:w="1471" w:type="dxa"/>
          </w:tcPr>
          <w:p w:rsidR="006625BF" w:rsidRPr="00FA7042" w:rsidRDefault="006625BF" w:rsidP="00D661DC">
            <w:pPr>
              <w:jc w:val="center"/>
              <w:rPr>
                <w:rFonts w:asciiTheme="majorBidi" w:hAnsiTheme="majorBidi"/>
              </w:rPr>
            </w:pPr>
            <w:r w:rsidRPr="00FA7042">
              <w:rPr>
                <w:rFonts w:asciiTheme="majorBidi" w:hAnsiTheme="majorBidi"/>
              </w:rPr>
              <w:t>8</w:t>
            </w:r>
          </w:p>
        </w:tc>
        <w:tc>
          <w:tcPr>
            <w:tcW w:w="1057"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58</w:t>
            </w:r>
          </w:p>
        </w:tc>
        <w:tc>
          <w:tcPr>
            <w:tcW w:w="1769"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33</w:t>
            </w:r>
          </w:p>
        </w:tc>
        <w:tc>
          <w:tcPr>
            <w:tcW w:w="1270"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7.923±1.110</w:t>
            </w:r>
          </w:p>
        </w:tc>
        <w:tc>
          <w:tcPr>
            <w:tcW w:w="1747"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0.189±0.026</w:t>
            </w:r>
          </w:p>
        </w:tc>
      </w:tr>
      <w:tr w:rsidR="006625BF" w:rsidRPr="00FA7042" w:rsidTr="00C44F53">
        <w:trPr>
          <w:trHeight w:val="671"/>
        </w:trPr>
        <w:tc>
          <w:tcPr>
            <w:tcW w:w="1471" w:type="dxa"/>
          </w:tcPr>
          <w:p w:rsidR="006625BF" w:rsidRPr="00FA7042" w:rsidRDefault="006625BF" w:rsidP="00D661DC">
            <w:pPr>
              <w:jc w:val="center"/>
              <w:rPr>
                <w:rFonts w:asciiTheme="majorBidi" w:hAnsiTheme="majorBidi"/>
              </w:rPr>
            </w:pPr>
            <w:r w:rsidRPr="00FA7042">
              <w:rPr>
                <w:rFonts w:asciiTheme="majorBidi" w:hAnsiTheme="majorBidi"/>
              </w:rPr>
              <w:t>Average</w:t>
            </w:r>
          </w:p>
        </w:tc>
        <w:tc>
          <w:tcPr>
            <w:tcW w:w="1057"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55.625</w:t>
            </w:r>
          </w:p>
        </w:tc>
        <w:tc>
          <w:tcPr>
            <w:tcW w:w="1769" w:type="dxa"/>
          </w:tcPr>
          <w:p w:rsidR="006625BF" w:rsidRPr="00FA7042" w:rsidRDefault="006625BF" w:rsidP="00D661DC">
            <w:pPr>
              <w:jc w:val="center"/>
              <w:rPr>
                <w:rFonts w:asciiTheme="majorBidi" w:hAnsiTheme="majorBidi" w:cstheme="majorBidi"/>
              </w:rPr>
            </w:pPr>
            <w:r w:rsidRPr="00FA7042">
              <w:rPr>
                <w:rFonts w:asciiTheme="majorBidi" w:hAnsiTheme="majorBidi" w:cstheme="majorBidi"/>
              </w:rPr>
              <w:t>32.625</w:t>
            </w:r>
          </w:p>
        </w:tc>
        <w:tc>
          <w:tcPr>
            <w:tcW w:w="1270"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8.845±1.363</w:t>
            </w:r>
          </w:p>
        </w:tc>
        <w:tc>
          <w:tcPr>
            <w:tcW w:w="1747" w:type="dxa"/>
          </w:tcPr>
          <w:p w:rsidR="006625BF" w:rsidRPr="00FA7042" w:rsidRDefault="006625BF" w:rsidP="00D661DC">
            <w:pPr>
              <w:jc w:val="center"/>
              <w:rPr>
                <w:rFonts w:asciiTheme="majorBidi" w:hAnsiTheme="majorBidi" w:cstheme="majorBidi"/>
                <w:color w:val="000000"/>
              </w:rPr>
            </w:pPr>
            <w:r w:rsidRPr="00FA7042">
              <w:rPr>
                <w:rFonts w:asciiTheme="majorBidi" w:hAnsiTheme="majorBidi" w:cstheme="majorBidi"/>
                <w:color w:val="000000"/>
              </w:rPr>
              <w:t>0.211±0.033</w:t>
            </w:r>
          </w:p>
        </w:tc>
      </w:tr>
    </w:tbl>
    <w:p w:rsidR="006625BF" w:rsidRPr="00FA7042" w:rsidRDefault="006625BF" w:rsidP="00377844">
      <w:pPr>
        <w:jc w:val="lowKashida"/>
        <w:rPr>
          <w:rFonts w:asciiTheme="majorBidi" w:hAnsiTheme="majorBidi" w:cstheme="majorBidi"/>
          <w:b/>
          <w:bCs/>
        </w:rPr>
      </w:pPr>
    </w:p>
    <w:p w:rsidR="00265D06" w:rsidRDefault="00265D06" w:rsidP="00377844">
      <w:pPr>
        <w:jc w:val="lowKashida"/>
        <w:rPr>
          <w:rFonts w:asciiTheme="majorBidi" w:hAnsiTheme="majorBidi" w:cstheme="majorBidi"/>
          <w:b/>
          <w:bCs/>
        </w:rPr>
      </w:pPr>
    </w:p>
    <w:p w:rsidR="00265D06" w:rsidRDefault="00265D06" w:rsidP="00377844">
      <w:pPr>
        <w:jc w:val="lowKashida"/>
        <w:rPr>
          <w:rFonts w:asciiTheme="majorBidi" w:hAnsiTheme="majorBidi" w:cstheme="majorBidi"/>
          <w:b/>
          <w:bCs/>
        </w:rPr>
      </w:pPr>
    </w:p>
    <w:p w:rsidR="00265D06" w:rsidRDefault="00265D06" w:rsidP="00377844">
      <w:pPr>
        <w:jc w:val="lowKashida"/>
        <w:rPr>
          <w:rFonts w:asciiTheme="majorBidi" w:hAnsiTheme="majorBidi" w:cstheme="majorBidi"/>
          <w:b/>
          <w:bCs/>
        </w:rPr>
      </w:pPr>
    </w:p>
    <w:p w:rsidR="006625BF" w:rsidRDefault="006625BF" w:rsidP="00377844">
      <w:pPr>
        <w:jc w:val="lowKashida"/>
        <w:rPr>
          <w:rFonts w:asciiTheme="majorBidi" w:hAnsiTheme="majorBidi" w:cstheme="majorBidi"/>
        </w:rPr>
      </w:pPr>
      <w:r w:rsidRPr="00FA7042">
        <w:rPr>
          <w:rFonts w:asciiTheme="majorBidi" w:hAnsiTheme="majorBidi" w:cstheme="majorBidi"/>
          <w:b/>
          <w:bCs/>
        </w:rPr>
        <w:lastRenderedPageBreak/>
        <w:t>Table2:</w:t>
      </w:r>
      <w:r w:rsidR="00265D06">
        <w:rPr>
          <w:rFonts w:asciiTheme="majorBidi" w:hAnsiTheme="majorBidi" w:cstheme="majorBidi"/>
          <w:b/>
          <w:bCs/>
        </w:rPr>
        <w:t xml:space="preserve"> </w:t>
      </w:r>
      <w:r w:rsidRPr="00FA7042">
        <w:rPr>
          <w:rFonts w:asciiTheme="majorBidi" w:hAnsiTheme="majorBidi" w:cstheme="majorBidi"/>
        </w:rPr>
        <w:t>Sample numb</w:t>
      </w:r>
      <w:r w:rsidR="00CD59DE">
        <w:rPr>
          <w:rFonts w:asciiTheme="majorBidi" w:hAnsiTheme="majorBidi" w:cstheme="majorBidi"/>
        </w:rPr>
        <w:t>er, age, duration of employment</w:t>
      </w:r>
      <w:r w:rsidRPr="00FA7042">
        <w:rPr>
          <w:rFonts w:asciiTheme="majorBidi" w:hAnsiTheme="majorBidi" w:cstheme="majorBidi"/>
        </w:rPr>
        <w:t>,</w:t>
      </w:r>
      <w:r w:rsidR="00CD59DE">
        <w:rPr>
          <w:rFonts w:asciiTheme="majorBidi" w:hAnsiTheme="majorBidi" w:cstheme="majorBidi"/>
        </w:rPr>
        <w:t xml:space="preserve"> </w:t>
      </w:r>
      <w:r w:rsidRPr="00FA7042">
        <w:rPr>
          <w:rFonts w:asciiTheme="majorBidi" w:hAnsiTheme="majorBidi" w:cstheme="majorBidi"/>
        </w:rPr>
        <w:t xml:space="preserve">track densities and uranium </w:t>
      </w:r>
      <w:proofErr w:type="gramStart"/>
      <w:r w:rsidRPr="00FA7042">
        <w:rPr>
          <w:rFonts w:asciiTheme="majorBidi" w:hAnsiTheme="majorBidi" w:cstheme="majorBidi"/>
        </w:rPr>
        <w:t>concentration(</w:t>
      </w:r>
      <w:proofErr w:type="gramEnd"/>
      <w:r w:rsidRPr="00FA7042">
        <w:rPr>
          <w:rFonts w:asciiTheme="majorBidi" w:hAnsiTheme="majorBidi" w:cstheme="majorBidi"/>
        </w:rPr>
        <w:t>ppb) For personnel with</w:t>
      </w:r>
      <w:r w:rsidRPr="00FA7042">
        <w:rPr>
          <w:rFonts w:asciiTheme="majorBidi" w:hAnsiTheme="majorBidi" w:cstheme="majorBidi"/>
          <w:color w:val="0E101A"/>
        </w:rPr>
        <w:t xml:space="preserve"> protective measure</w:t>
      </w:r>
      <w:r w:rsidRPr="00FA7042">
        <w:rPr>
          <w:rFonts w:asciiTheme="majorBidi" w:hAnsiTheme="majorBidi" w:cstheme="majorBidi"/>
        </w:rPr>
        <w:t>.</w:t>
      </w:r>
      <w:r w:rsidR="00265D06">
        <w:rPr>
          <w:rFonts w:asciiTheme="majorBidi" w:hAnsiTheme="majorBidi" w:cstheme="majorBidi"/>
        </w:rPr>
        <w:t xml:space="preserve"> </w:t>
      </w:r>
    </w:p>
    <w:p w:rsidR="006625BF" w:rsidRPr="00265D06" w:rsidRDefault="006625BF" w:rsidP="00377844">
      <w:pPr>
        <w:jc w:val="lowKashida"/>
        <w:rPr>
          <w:rFonts w:asciiTheme="majorBidi" w:hAnsiTheme="majorBidi" w:cstheme="majorBidi"/>
          <w:sz w:val="12"/>
          <w:szCs w:val="12"/>
        </w:rPr>
      </w:pPr>
    </w:p>
    <w:tbl>
      <w:tblPr>
        <w:tblStyle w:val="TableGrid"/>
        <w:tblW w:w="8889" w:type="dxa"/>
        <w:jc w:val="center"/>
        <w:tblInd w:w="382" w:type="dxa"/>
        <w:tblLook w:val="04A0" w:firstRow="1" w:lastRow="0" w:firstColumn="1" w:lastColumn="0" w:noHBand="0" w:noVBand="1"/>
      </w:tblPr>
      <w:tblGrid>
        <w:gridCol w:w="1444"/>
        <w:gridCol w:w="1848"/>
        <w:gridCol w:w="1971"/>
        <w:gridCol w:w="1888"/>
        <w:gridCol w:w="1738"/>
      </w:tblGrid>
      <w:tr w:rsidR="006625BF" w:rsidRPr="00FA7042" w:rsidTr="00C44F53">
        <w:trPr>
          <w:trHeight w:val="1065"/>
          <w:jc w:val="center"/>
        </w:trPr>
        <w:tc>
          <w:tcPr>
            <w:tcW w:w="1444" w:type="dxa"/>
            <w:vAlign w:val="center"/>
          </w:tcPr>
          <w:p w:rsidR="006625BF" w:rsidRPr="00FA7042" w:rsidRDefault="006625BF" w:rsidP="00377844">
            <w:pPr>
              <w:pStyle w:val="BodyText"/>
              <w:ind w:left="0"/>
              <w:jc w:val="center"/>
              <w:rPr>
                <w:rFonts w:asciiTheme="majorBidi" w:hAnsiTheme="majorBidi" w:cstheme="majorBidi"/>
                <w:bCs/>
                <w:iCs/>
                <w:sz w:val="20"/>
                <w:szCs w:val="20"/>
              </w:rPr>
            </w:pPr>
            <w:r w:rsidRPr="00FA7042">
              <w:rPr>
                <w:rFonts w:asciiTheme="majorBidi" w:hAnsiTheme="majorBidi" w:cstheme="majorBidi"/>
                <w:bCs/>
                <w:iCs/>
                <w:sz w:val="20"/>
                <w:szCs w:val="20"/>
              </w:rPr>
              <w:t>NO. of samples</w:t>
            </w:r>
          </w:p>
        </w:tc>
        <w:tc>
          <w:tcPr>
            <w:tcW w:w="1848" w:type="dxa"/>
            <w:vAlign w:val="center"/>
          </w:tcPr>
          <w:p w:rsidR="006625BF" w:rsidRPr="00FA7042" w:rsidRDefault="006625BF" w:rsidP="00377844">
            <w:pPr>
              <w:pStyle w:val="BodyText"/>
              <w:ind w:left="0"/>
              <w:jc w:val="center"/>
              <w:rPr>
                <w:rFonts w:asciiTheme="majorBidi" w:hAnsiTheme="majorBidi" w:cstheme="majorBidi"/>
                <w:bCs/>
                <w:iCs/>
                <w:sz w:val="20"/>
                <w:szCs w:val="20"/>
              </w:rPr>
            </w:pPr>
            <w:r w:rsidRPr="00FA7042">
              <w:rPr>
                <w:rFonts w:asciiTheme="majorBidi" w:hAnsiTheme="majorBidi" w:cstheme="majorBidi"/>
                <w:bCs/>
                <w:iCs/>
                <w:sz w:val="20"/>
                <w:szCs w:val="20"/>
              </w:rPr>
              <w:t>Age(year)</w:t>
            </w:r>
          </w:p>
        </w:tc>
        <w:tc>
          <w:tcPr>
            <w:tcW w:w="1971" w:type="dxa"/>
            <w:vAlign w:val="center"/>
          </w:tcPr>
          <w:p w:rsidR="006625BF" w:rsidRPr="00FA7042" w:rsidRDefault="006625BF" w:rsidP="00377844">
            <w:pPr>
              <w:pStyle w:val="BodyText"/>
              <w:ind w:left="0"/>
              <w:jc w:val="center"/>
              <w:rPr>
                <w:rFonts w:asciiTheme="majorBidi" w:hAnsiTheme="majorBidi" w:cstheme="majorBidi"/>
                <w:bCs/>
                <w:iCs/>
                <w:sz w:val="20"/>
                <w:szCs w:val="20"/>
              </w:rPr>
            </w:pPr>
            <w:r w:rsidRPr="00FA7042">
              <w:rPr>
                <w:rFonts w:asciiTheme="majorBidi" w:hAnsiTheme="majorBidi" w:cstheme="majorBidi"/>
                <w:bCs/>
                <w:iCs/>
                <w:sz w:val="20"/>
                <w:szCs w:val="20"/>
              </w:rPr>
              <w:t>Duration of employment(year)</w:t>
            </w:r>
          </w:p>
        </w:tc>
        <w:tc>
          <w:tcPr>
            <w:tcW w:w="1888" w:type="dxa"/>
          </w:tcPr>
          <w:p w:rsidR="006625BF" w:rsidRPr="00FA7042" w:rsidRDefault="006625BF" w:rsidP="00377844">
            <w:pPr>
              <w:jc w:val="center"/>
              <w:rPr>
                <w:rFonts w:asciiTheme="majorBidi" w:hAnsiTheme="majorBidi"/>
                <w:b/>
                <w:bCs/>
              </w:rPr>
            </w:pPr>
            <w:r w:rsidRPr="00FA7042">
              <w:rPr>
                <w:rFonts w:asciiTheme="majorBidi" w:hAnsiTheme="majorBidi"/>
              </w:rPr>
              <w:t>Track densities</w:t>
            </w:r>
          </w:p>
          <w:p w:rsidR="006625BF" w:rsidRPr="00FA7042" w:rsidRDefault="006625BF" w:rsidP="00377844">
            <w:pPr>
              <w:jc w:val="center"/>
              <w:rPr>
                <w:rFonts w:asciiTheme="majorBidi" w:hAnsiTheme="majorBidi"/>
                <w:b/>
                <w:bCs/>
              </w:rPr>
            </w:pPr>
            <w:r w:rsidRPr="00FA7042">
              <w:rPr>
                <w:rFonts w:asciiTheme="majorBidi" w:hAnsiTheme="majorBidi"/>
              </w:rPr>
              <w:t>(No. of tracks/mm</w:t>
            </w:r>
            <w:r w:rsidRPr="00FA7042">
              <w:rPr>
                <w:rFonts w:asciiTheme="majorBidi" w:hAnsiTheme="majorBidi"/>
                <w:vertAlign w:val="superscript"/>
              </w:rPr>
              <w:t>2</w:t>
            </w:r>
            <w:r w:rsidRPr="00FA7042">
              <w:rPr>
                <w:rFonts w:asciiTheme="majorBidi" w:hAnsiTheme="majorBidi"/>
              </w:rPr>
              <w:t>)</w:t>
            </w:r>
          </w:p>
          <w:p w:rsidR="006625BF" w:rsidRPr="00FA7042" w:rsidRDefault="006625BF" w:rsidP="00377844">
            <w:pPr>
              <w:pStyle w:val="BodyText"/>
              <w:ind w:left="0"/>
              <w:jc w:val="center"/>
              <w:rPr>
                <w:rFonts w:asciiTheme="majorBidi" w:hAnsiTheme="majorBidi" w:cstheme="majorBidi"/>
                <w:sz w:val="20"/>
                <w:szCs w:val="20"/>
              </w:rPr>
            </w:pPr>
            <w:r w:rsidRPr="00FA7042">
              <w:rPr>
                <w:rFonts w:asciiTheme="majorBidi" w:hAnsiTheme="majorBidi"/>
                <w:sz w:val="20"/>
                <w:szCs w:val="20"/>
              </w:rPr>
              <w:t>Mean± SD</w:t>
            </w:r>
          </w:p>
        </w:tc>
        <w:tc>
          <w:tcPr>
            <w:tcW w:w="1738" w:type="dxa"/>
          </w:tcPr>
          <w:p w:rsidR="006625BF" w:rsidRPr="00FA7042" w:rsidRDefault="006625BF" w:rsidP="00377844">
            <w:pPr>
              <w:jc w:val="center"/>
              <w:rPr>
                <w:rFonts w:asciiTheme="majorBidi" w:hAnsiTheme="majorBidi"/>
                <w:b/>
                <w:bCs/>
              </w:rPr>
            </w:pPr>
            <w:r w:rsidRPr="00FA7042">
              <w:rPr>
                <w:rFonts w:asciiTheme="majorBidi" w:hAnsiTheme="majorBidi"/>
              </w:rPr>
              <w:t>Uranium concentration(ppb)</w:t>
            </w:r>
          </w:p>
          <w:p w:rsidR="006625BF" w:rsidRPr="00FA7042" w:rsidRDefault="006625BF" w:rsidP="00377844">
            <w:pPr>
              <w:pStyle w:val="BodyText"/>
              <w:ind w:left="0"/>
              <w:jc w:val="center"/>
              <w:rPr>
                <w:rFonts w:asciiTheme="majorBidi" w:hAnsiTheme="majorBidi" w:cstheme="majorBidi"/>
                <w:sz w:val="20"/>
                <w:szCs w:val="20"/>
              </w:rPr>
            </w:pPr>
            <w:r w:rsidRPr="00FA7042">
              <w:rPr>
                <w:rFonts w:asciiTheme="majorBidi" w:hAnsiTheme="majorBidi"/>
                <w:sz w:val="20"/>
                <w:szCs w:val="20"/>
              </w:rPr>
              <w:t>Mean± SD</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9</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47</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18</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4.013±0.936</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0.096±0.022</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10</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30</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6</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3.456±0.157</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0.082±0.004</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11</w:t>
            </w:r>
          </w:p>
        </w:tc>
        <w:tc>
          <w:tcPr>
            <w:tcW w:w="1848" w:type="dxa"/>
          </w:tcPr>
          <w:p w:rsidR="006625BF" w:rsidRPr="00FA7042" w:rsidRDefault="006625BF" w:rsidP="00377844">
            <w:pPr>
              <w:jc w:val="center"/>
              <w:rPr>
                <w:rFonts w:asciiTheme="majorBidi" w:hAnsiTheme="majorBidi" w:cstheme="majorBidi"/>
                <w:rtl/>
                <w:lang w:bidi="ar-IQ"/>
              </w:rPr>
            </w:pPr>
            <w:r w:rsidRPr="00FA7042">
              <w:rPr>
                <w:rFonts w:asciiTheme="majorBidi" w:hAnsiTheme="majorBidi" w:cstheme="majorBidi"/>
              </w:rPr>
              <w:t>50</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20</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3.442±0.401</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0.082±0.009</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12</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52</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20</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3.416±0.310</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0.081±0.007</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13</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48</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19</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3.420±1.059</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0.081±0.025</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14</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49</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20</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4.063±0.395</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0.097±0.009</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15</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46</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23</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3.700±0.416</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0.088±0.001</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16</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43</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19</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3.426±0.779</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0.082±0.019</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17</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30</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6</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4.040±0.565</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0.096±0.013</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18</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45</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25</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3.453±0.399</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0.082±0.010</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19</w:t>
            </w:r>
          </w:p>
        </w:tc>
        <w:tc>
          <w:tcPr>
            <w:tcW w:w="1848" w:type="dxa"/>
          </w:tcPr>
          <w:p w:rsidR="006625BF" w:rsidRPr="00FA7042" w:rsidRDefault="006625BF" w:rsidP="00377844">
            <w:pPr>
              <w:jc w:val="center"/>
              <w:rPr>
                <w:rFonts w:asciiTheme="majorBidi" w:hAnsiTheme="majorBidi"/>
              </w:rPr>
            </w:pPr>
            <w:r w:rsidRPr="00FA7042">
              <w:rPr>
                <w:rFonts w:asciiTheme="majorBidi" w:hAnsiTheme="majorBidi"/>
              </w:rPr>
              <w:t>49</w:t>
            </w:r>
          </w:p>
        </w:tc>
        <w:tc>
          <w:tcPr>
            <w:tcW w:w="1971" w:type="dxa"/>
          </w:tcPr>
          <w:p w:rsidR="006625BF" w:rsidRPr="00FA7042" w:rsidRDefault="006625BF" w:rsidP="00377844">
            <w:pPr>
              <w:jc w:val="center"/>
              <w:rPr>
                <w:rFonts w:asciiTheme="majorBidi" w:hAnsiTheme="majorBidi"/>
              </w:rPr>
            </w:pPr>
            <w:r w:rsidRPr="00FA7042">
              <w:rPr>
                <w:rFonts w:asciiTheme="majorBidi" w:hAnsiTheme="majorBidi"/>
              </w:rPr>
              <w:t>18</w:t>
            </w:r>
          </w:p>
        </w:tc>
        <w:tc>
          <w:tcPr>
            <w:tcW w:w="1888" w:type="dxa"/>
          </w:tcPr>
          <w:p w:rsidR="006625BF" w:rsidRPr="00FA7042" w:rsidRDefault="006625BF" w:rsidP="00377844">
            <w:pPr>
              <w:jc w:val="center"/>
              <w:rPr>
                <w:rFonts w:asciiTheme="majorBidi" w:hAnsiTheme="majorBidi"/>
                <w:color w:val="000000"/>
              </w:rPr>
            </w:pPr>
            <w:r w:rsidRPr="00FA7042">
              <w:rPr>
                <w:rFonts w:asciiTheme="majorBidi" w:hAnsiTheme="majorBidi"/>
                <w:color w:val="000000"/>
              </w:rPr>
              <w:t>3.193±0.294</w:t>
            </w:r>
          </w:p>
        </w:tc>
        <w:tc>
          <w:tcPr>
            <w:tcW w:w="1738" w:type="dxa"/>
          </w:tcPr>
          <w:p w:rsidR="006625BF" w:rsidRPr="00FA7042" w:rsidRDefault="006625BF" w:rsidP="00377844">
            <w:pPr>
              <w:jc w:val="center"/>
              <w:rPr>
                <w:rFonts w:asciiTheme="majorBidi" w:hAnsiTheme="majorBidi"/>
                <w:color w:val="000000"/>
              </w:rPr>
            </w:pPr>
            <w:r w:rsidRPr="00FA7042">
              <w:rPr>
                <w:rFonts w:asciiTheme="majorBidi" w:hAnsiTheme="majorBidi"/>
                <w:color w:val="000000"/>
              </w:rPr>
              <w:t>0.076±0.007</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20</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45</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25</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3.876±0.613</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0.092±0.015</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21</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28</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5</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3.483±0.566</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0.083±0.013</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22</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41</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19</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3.973±0.435</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0.095±0.010</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23</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47</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16</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4.056±1.018</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0.097±0.024</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24</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47</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20</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4.610±0.629</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0.109±0.015</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25</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35</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6</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3.310±0.808</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0.079±0.019</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26</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49</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23</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3.313±0.464</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0.079±0.011</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27</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31</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5</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4.173±0.664</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0.099±0.016</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28</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32</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9</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4.030±0.528</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0.096±0.012</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29</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56</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20</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3.903±0.234</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0.093±0.006</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30</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55</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25</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3.746±0.545</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0.089±0.013</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31</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50</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20</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4.200±0.418</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0.1±0.010</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32</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58</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25</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4.370±0.491</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0.104±0.011</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33</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55</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24</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4.446±0.510</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0.105±0.012</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34</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47</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24</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3.480±1.528</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0.083±0.036</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35</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43</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16</w:t>
            </w:r>
          </w:p>
        </w:tc>
        <w:tc>
          <w:tcPr>
            <w:tcW w:w="188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3.390±1.715</w:t>
            </w:r>
          </w:p>
        </w:tc>
        <w:tc>
          <w:tcPr>
            <w:tcW w:w="173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0.081±0.041</w:t>
            </w:r>
          </w:p>
        </w:tc>
      </w:tr>
      <w:tr w:rsidR="006625BF" w:rsidRPr="00FA7042" w:rsidTr="00C44F53">
        <w:trPr>
          <w:trHeight w:val="355"/>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36</w:t>
            </w:r>
          </w:p>
        </w:tc>
        <w:tc>
          <w:tcPr>
            <w:tcW w:w="1848"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63</w:t>
            </w:r>
          </w:p>
        </w:tc>
        <w:tc>
          <w:tcPr>
            <w:tcW w:w="1971" w:type="dxa"/>
          </w:tcPr>
          <w:p w:rsidR="006625BF" w:rsidRPr="00FA7042" w:rsidRDefault="006625BF" w:rsidP="00377844">
            <w:pPr>
              <w:jc w:val="center"/>
              <w:rPr>
                <w:rFonts w:asciiTheme="majorBidi" w:hAnsiTheme="majorBidi" w:cstheme="majorBidi"/>
              </w:rPr>
            </w:pPr>
            <w:r w:rsidRPr="00FA7042">
              <w:rPr>
                <w:rFonts w:asciiTheme="majorBidi" w:hAnsiTheme="majorBidi" w:cstheme="majorBidi"/>
              </w:rPr>
              <w:t>20</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4.070±0.718</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0.097±0.017</w:t>
            </w:r>
          </w:p>
        </w:tc>
      </w:tr>
      <w:tr w:rsidR="006625BF" w:rsidRPr="00FA7042" w:rsidTr="00C44F53">
        <w:trPr>
          <w:trHeight w:val="374"/>
          <w:jc w:val="center"/>
        </w:trPr>
        <w:tc>
          <w:tcPr>
            <w:tcW w:w="1444" w:type="dxa"/>
          </w:tcPr>
          <w:p w:rsidR="006625BF" w:rsidRPr="00FA7042" w:rsidRDefault="006625BF" w:rsidP="00377844">
            <w:pPr>
              <w:jc w:val="center"/>
              <w:rPr>
                <w:rFonts w:asciiTheme="majorBidi" w:hAnsiTheme="majorBidi"/>
              </w:rPr>
            </w:pPr>
            <w:r w:rsidRPr="00FA7042">
              <w:rPr>
                <w:rFonts w:asciiTheme="majorBidi" w:hAnsiTheme="majorBidi"/>
              </w:rPr>
              <w:t>Average</w:t>
            </w:r>
          </w:p>
        </w:tc>
        <w:tc>
          <w:tcPr>
            <w:tcW w:w="184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45.392</w:t>
            </w:r>
          </w:p>
        </w:tc>
        <w:tc>
          <w:tcPr>
            <w:tcW w:w="1971"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17.714</w:t>
            </w:r>
          </w:p>
        </w:tc>
        <w:tc>
          <w:tcPr>
            <w:tcW w:w="188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3.787±0.628</w:t>
            </w:r>
          </w:p>
        </w:tc>
        <w:tc>
          <w:tcPr>
            <w:tcW w:w="1738" w:type="dxa"/>
          </w:tcPr>
          <w:p w:rsidR="006625BF" w:rsidRPr="00FA7042" w:rsidRDefault="006625BF" w:rsidP="00377844">
            <w:pPr>
              <w:jc w:val="center"/>
              <w:rPr>
                <w:rFonts w:asciiTheme="majorBidi" w:hAnsiTheme="majorBidi" w:cstheme="majorBidi"/>
                <w:color w:val="000000"/>
              </w:rPr>
            </w:pPr>
            <w:r w:rsidRPr="00FA7042">
              <w:rPr>
                <w:rFonts w:asciiTheme="majorBidi" w:hAnsiTheme="majorBidi" w:cstheme="majorBidi"/>
                <w:color w:val="000000"/>
              </w:rPr>
              <w:t>0.090±0.009</w:t>
            </w:r>
          </w:p>
        </w:tc>
      </w:tr>
    </w:tbl>
    <w:p w:rsidR="00D661DC" w:rsidRPr="00D661DC" w:rsidRDefault="00D661DC" w:rsidP="00377844">
      <w:pPr>
        <w:pStyle w:val="Heading1"/>
        <w:spacing w:before="0"/>
        <w:ind w:left="0"/>
        <w:jc w:val="lowKashida"/>
        <w:rPr>
          <w:rFonts w:asciiTheme="majorBidi" w:hAnsiTheme="majorBidi" w:cstheme="majorBidi"/>
          <w:sz w:val="12"/>
          <w:szCs w:val="12"/>
        </w:rPr>
      </w:pPr>
    </w:p>
    <w:p w:rsidR="008A14CB" w:rsidRDefault="008A14CB" w:rsidP="00377844">
      <w:pPr>
        <w:pStyle w:val="Heading1"/>
        <w:spacing w:before="0"/>
        <w:ind w:left="0"/>
        <w:jc w:val="lowKashida"/>
        <w:rPr>
          <w:rFonts w:asciiTheme="majorBidi" w:hAnsiTheme="majorBidi" w:cstheme="majorBidi"/>
          <w:b w:val="0"/>
          <w:bCs w:val="0"/>
          <w:sz w:val="20"/>
          <w:szCs w:val="20"/>
        </w:rPr>
      </w:pPr>
    </w:p>
    <w:p w:rsidR="008A14CB" w:rsidRDefault="008A14CB" w:rsidP="00377844">
      <w:pPr>
        <w:pStyle w:val="Heading1"/>
        <w:spacing w:before="0"/>
        <w:ind w:left="0"/>
        <w:jc w:val="lowKashida"/>
        <w:rPr>
          <w:rFonts w:asciiTheme="majorBidi" w:hAnsiTheme="majorBidi" w:cstheme="majorBidi"/>
          <w:b w:val="0"/>
          <w:bCs w:val="0"/>
          <w:sz w:val="20"/>
          <w:szCs w:val="20"/>
        </w:rPr>
      </w:pPr>
    </w:p>
    <w:p w:rsidR="006625BF" w:rsidRPr="00FA7042" w:rsidRDefault="006625BF" w:rsidP="00377844">
      <w:pPr>
        <w:pStyle w:val="Heading1"/>
        <w:spacing w:before="0"/>
        <w:ind w:left="0"/>
        <w:jc w:val="lowKashida"/>
        <w:rPr>
          <w:rFonts w:asciiTheme="majorBidi" w:hAnsiTheme="majorBidi" w:cstheme="majorBidi"/>
          <w:b w:val="0"/>
          <w:bCs w:val="0"/>
          <w:sz w:val="20"/>
          <w:szCs w:val="20"/>
        </w:rPr>
      </w:pPr>
      <w:r w:rsidRPr="00F32F6E">
        <w:rPr>
          <w:rFonts w:asciiTheme="majorBidi" w:hAnsiTheme="majorBidi" w:cstheme="majorBidi"/>
          <w:sz w:val="20"/>
          <w:szCs w:val="20"/>
        </w:rPr>
        <w:lastRenderedPageBreak/>
        <w:t>Table3:</w:t>
      </w:r>
      <w:r w:rsidR="00D661DC">
        <w:rPr>
          <w:rFonts w:asciiTheme="majorBidi" w:hAnsiTheme="majorBidi" w:cstheme="majorBidi"/>
          <w:b w:val="0"/>
          <w:bCs w:val="0"/>
          <w:sz w:val="20"/>
          <w:szCs w:val="20"/>
        </w:rPr>
        <w:t xml:space="preserve"> </w:t>
      </w:r>
      <w:r w:rsidRPr="00FA7042">
        <w:rPr>
          <w:rFonts w:asciiTheme="majorBidi" w:hAnsiTheme="majorBidi" w:cstheme="majorBidi"/>
          <w:b w:val="0"/>
          <w:bCs w:val="0"/>
          <w:sz w:val="20"/>
          <w:szCs w:val="20"/>
        </w:rPr>
        <w:t>Sample number, age, track densities and uranium concentration (ppb)</w:t>
      </w:r>
      <w:r w:rsidR="00F32F6E">
        <w:rPr>
          <w:rFonts w:asciiTheme="majorBidi" w:hAnsiTheme="majorBidi" w:cstheme="majorBidi"/>
          <w:b w:val="0"/>
          <w:bCs w:val="0"/>
          <w:sz w:val="20"/>
          <w:szCs w:val="20"/>
        </w:rPr>
        <w:t xml:space="preserve"> </w:t>
      </w:r>
      <w:r w:rsidRPr="00FA7042">
        <w:rPr>
          <w:rFonts w:asciiTheme="majorBidi" w:hAnsiTheme="majorBidi" w:cstheme="majorBidi"/>
          <w:b w:val="0"/>
          <w:bCs w:val="0"/>
          <w:sz w:val="20"/>
          <w:szCs w:val="20"/>
        </w:rPr>
        <w:t>for</w:t>
      </w:r>
      <w:r w:rsidRPr="00FA7042">
        <w:rPr>
          <w:rFonts w:asciiTheme="majorBidi" w:hAnsiTheme="majorBidi" w:cstheme="majorBidi"/>
          <w:b w:val="0"/>
          <w:bCs w:val="0"/>
          <w:sz w:val="20"/>
          <w:szCs w:val="20"/>
          <w:lang w:bidi="ar-IQ"/>
        </w:rPr>
        <w:t xml:space="preserve"> the control group</w:t>
      </w:r>
    </w:p>
    <w:tbl>
      <w:tblPr>
        <w:tblStyle w:val="TableGrid"/>
        <w:tblpPr w:leftFromText="180" w:rightFromText="180" w:horzAnchor="margin" w:tblpXSpec="center" w:tblpY="648"/>
        <w:tblW w:w="0" w:type="auto"/>
        <w:tblLook w:val="04A0" w:firstRow="1" w:lastRow="0" w:firstColumn="1" w:lastColumn="0" w:noHBand="0" w:noVBand="1"/>
      </w:tblPr>
      <w:tblGrid>
        <w:gridCol w:w="2193"/>
        <w:gridCol w:w="2014"/>
        <w:gridCol w:w="2014"/>
        <w:gridCol w:w="2701"/>
      </w:tblGrid>
      <w:tr w:rsidR="006625BF" w:rsidRPr="00FA7042" w:rsidTr="00C44F53">
        <w:trPr>
          <w:trHeight w:val="927"/>
        </w:trPr>
        <w:tc>
          <w:tcPr>
            <w:tcW w:w="2193" w:type="dxa"/>
            <w:vAlign w:val="center"/>
          </w:tcPr>
          <w:p w:rsidR="006625BF" w:rsidRPr="00FA7042" w:rsidRDefault="006625BF" w:rsidP="00F32F6E">
            <w:pPr>
              <w:pStyle w:val="BodyText"/>
              <w:ind w:left="0"/>
              <w:jc w:val="center"/>
              <w:rPr>
                <w:rFonts w:asciiTheme="majorBidi" w:hAnsiTheme="majorBidi" w:cstheme="majorBidi"/>
                <w:sz w:val="20"/>
                <w:szCs w:val="20"/>
              </w:rPr>
            </w:pPr>
            <w:r w:rsidRPr="00FA7042">
              <w:rPr>
                <w:rFonts w:asciiTheme="majorBidi" w:hAnsiTheme="majorBidi" w:cstheme="majorBidi"/>
                <w:sz w:val="20"/>
                <w:szCs w:val="20"/>
              </w:rPr>
              <w:t>NO. of samples</w:t>
            </w:r>
          </w:p>
        </w:tc>
        <w:tc>
          <w:tcPr>
            <w:tcW w:w="2014" w:type="dxa"/>
          </w:tcPr>
          <w:p w:rsidR="006625BF" w:rsidRPr="00FA7042" w:rsidRDefault="006625BF" w:rsidP="00F32F6E">
            <w:pPr>
              <w:pStyle w:val="tablecolsubhead"/>
              <w:rPr>
                <w:b w:val="0"/>
                <w:i w:val="0"/>
                <w:sz w:val="20"/>
                <w:szCs w:val="20"/>
              </w:rPr>
            </w:pPr>
            <w:r w:rsidRPr="00FA7042">
              <w:rPr>
                <w:b w:val="0"/>
                <w:i w:val="0"/>
                <w:sz w:val="20"/>
                <w:szCs w:val="20"/>
              </w:rPr>
              <w:t>Age(year)</w:t>
            </w:r>
          </w:p>
        </w:tc>
        <w:tc>
          <w:tcPr>
            <w:tcW w:w="2014" w:type="dxa"/>
            <w:vAlign w:val="center"/>
          </w:tcPr>
          <w:p w:rsidR="006625BF" w:rsidRPr="00FA7042" w:rsidRDefault="006625BF" w:rsidP="00F32F6E">
            <w:pPr>
              <w:jc w:val="center"/>
              <w:rPr>
                <w:rFonts w:asciiTheme="majorBidi" w:hAnsiTheme="majorBidi"/>
                <w:b/>
                <w:bCs/>
              </w:rPr>
            </w:pPr>
            <w:r w:rsidRPr="00FA7042">
              <w:rPr>
                <w:rFonts w:asciiTheme="majorBidi" w:hAnsiTheme="majorBidi"/>
              </w:rPr>
              <w:t>Track densities</w:t>
            </w:r>
          </w:p>
          <w:p w:rsidR="006625BF" w:rsidRPr="00FA7042" w:rsidRDefault="006625BF" w:rsidP="00F32F6E">
            <w:pPr>
              <w:jc w:val="center"/>
              <w:rPr>
                <w:rFonts w:asciiTheme="majorBidi" w:hAnsiTheme="majorBidi"/>
                <w:b/>
                <w:bCs/>
              </w:rPr>
            </w:pPr>
            <w:r w:rsidRPr="00FA7042">
              <w:rPr>
                <w:rFonts w:asciiTheme="majorBidi" w:hAnsiTheme="majorBidi"/>
              </w:rPr>
              <w:t>(No. of tracks/mm</w:t>
            </w:r>
            <w:r w:rsidRPr="00FA7042">
              <w:rPr>
                <w:rFonts w:asciiTheme="majorBidi" w:hAnsiTheme="majorBidi"/>
                <w:vertAlign w:val="superscript"/>
              </w:rPr>
              <w:t>2</w:t>
            </w:r>
            <w:r w:rsidRPr="00FA7042">
              <w:rPr>
                <w:rFonts w:asciiTheme="majorBidi" w:hAnsiTheme="majorBidi"/>
              </w:rPr>
              <w:t>)</w:t>
            </w:r>
          </w:p>
          <w:p w:rsidR="006625BF" w:rsidRPr="00FA7042" w:rsidRDefault="006625BF" w:rsidP="00F32F6E">
            <w:pPr>
              <w:pStyle w:val="BodyText"/>
              <w:ind w:left="0"/>
              <w:jc w:val="center"/>
              <w:rPr>
                <w:rFonts w:asciiTheme="majorBidi" w:hAnsiTheme="majorBidi" w:cstheme="majorBidi"/>
                <w:sz w:val="20"/>
                <w:szCs w:val="20"/>
              </w:rPr>
            </w:pPr>
            <w:r w:rsidRPr="00FA7042">
              <w:rPr>
                <w:rFonts w:asciiTheme="majorBidi" w:hAnsiTheme="majorBidi"/>
                <w:sz w:val="20"/>
                <w:szCs w:val="20"/>
              </w:rPr>
              <w:t>Mean± SD</w:t>
            </w:r>
          </w:p>
        </w:tc>
        <w:tc>
          <w:tcPr>
            <w:tcW w:w="2701" w:type="dxa"/>
          </w:tcPr>
          <w:p w:rsidR="006625BF" w:rsidRPr="00FA7042" w:rsidRDefault="006625BF" w:rsidP="00F32F6E">
            <w:pPr>
              <w:jc w:val="center"/>
              <w:rPr>
                <w:rFonts w:asciiTheme="majorBidi" w:hAnsiTheme="majorBidi"/>
                <w:b/>
                <w:bCs/>
              </w:rPr>
            </w:pPr>
            <w:r w:rsidRPr="00FA7042">
              <w:rPr>
                <w:rFonts w:asciiTheme="majorBidi" w:hAnsiTheme="majorBidi"/>
              </w:rPr>
              <w:t>Uranium concentration(ppb)</w:t>
            </w:r>
          </w:p>
          <w:p w:rsidR="006625BF" w:rsidRPr="00FA7042" w:rsidRDefault="006625BF" w:rsidP="00F32F6E">
            <w:pPr>
              <w:pStyle w:val="BodyText"/>
              <w:ind w:left="0"/>
              <w:jc w:val="center"/>
              <w:rPr>
                <w:rFonts w:asciiTheme="majorBidi" w:hAnsiTheme="majorBidi" w:cstheme="majorBidi"/>
                <w:sz w:val="20"/>
                <w:szCs w:val="20"/>
              </w:rPr>
            </w:pPr>
            <w:r w:rsidRPr="00FA7042">
              <w:rPr>
                <w:rFonts w:asciiTheme="majorBidi" w:hAnsiTheme="majorBidi"/>
                <w:sz w:val="20"/>
                <w:szCs w:val="20"/>
              </w:rPr>
              <w:t>Mean± SD</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37</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51</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2.643±1.541</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0.062±0.036</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38</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35</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1.303±0.329</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0.031±0.007</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39</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38</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2.876±1.425</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0.068±0.033</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40</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36</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1.673±0.853</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0.039±0.020</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41</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37</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2.776±0.899</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0.066±0.021</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42</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51</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2.500±1.535</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0.060±0.036</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43</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51</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1.060±0.194</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0.025±0.005</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44</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46</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1.230±0.369</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0.029±0.009</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45</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33</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2.356±1.349</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0.056±0.032</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46</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35</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2.890±0.629</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0.069±0.015</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47</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42</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1.056.±0.457</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0.025±0.011</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48</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51</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2.340±1.349</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0.056±0.039</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49</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34</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2.563±1.203</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0.061±0.029</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50</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37</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2.376±1.125</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0.057±0.027</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51</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58</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2.426±1.334</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0.058±0.032</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52</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31</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2.537±1.147</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0.061±0.014</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53</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40</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1.356±0.599</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0.032±0.014</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54</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53</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2.366±1.879</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0.056±0.045</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55</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40</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3.613±0.496</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0.086±0.012</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56</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39</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2.563±1.056</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0.061±0.025</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57</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40</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2.216±1.162</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0.053±0.028</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58</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34</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3.170±0.887</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0.075±0.021</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59</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41</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2.813±1.163</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0.067±0.028</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60</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41</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2.523±0.408</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0.059±0.010</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61</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52</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2.356±1.598</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0.056±0.038</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62</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30</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2.070±1.114</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0.049±0.027</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63</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42</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3.030±0.755</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0.086±0.012</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64</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32</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3.613±0.496</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0.061±0.025</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65</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42</w:t>
            </w:r>
          </w:p>
        </w:tc>
        <w:tc>
          <w:tcPr>
            <w:tcW w:w="2014"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2.563±1.056</w:t>
            </w:r>
          </w:p>
        </w:tc>
        <w:tc>
          <w:tcPr>
            <w:tcW w:w="2701" w:type="dxa"/>
          </w:tcPr>
          <w:p w:rsidR="006625BF" w:rsidRPr="00FA7042" w:rsidRDefault="006625BF" w:rsidP="00F32F6E">
            <w:pPr>
              <w:jc w:val="center"/>
              <w:rPr>
                <w:rFonts w:asciiTheme="majorBidi" w:hAnsiTheme="majorBidi" w:cstheme="majorBidi"/>
                <w:color w:val="000000"/>
              </w:rPr>
            </w:pPr>
            <w:r w:rsidRPr="00FA7042">
              <w:rPr>
                <w:rFonts w:asciiTheme="majorBidi" w:hAnsiTheme="majorBidi" w:cstheme="majorBidi"/>
                <w:color w:val="000000"/>
              </w:rPr>
              <w:t>0.053±0.028</w:t>
            </w:r>
          </w:p>
        </w:tc>
      </w:tr>
      <w:tr w:rsidR="006625BF" w:rsidRPr="00FA7042" w:rsidTr="00C44F53">
        <w:trPr>
          <w:trHeight w:val="309"/>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66</w:t>
            </w:r>
          </w:p>
        </w:tc>
        <w:tc>
          <w:tcPr>
            <w:tcW w:w="2014" w:type="dxa"/>
          </w:tcPr>
          <w:p w:rsidR="006625BF" w:rsidRPr="00FA7042" w:rsidRDefault="006625BF" w:rsidP="00F32F6E">
            <w:pPr>
              <w:jc w:val="center"/>
              <w:rPr>
                <w:rFonts w:asciiTheme="majorBidi" w:hAnsiTheme="majorBidi" w:cstheme="majorBidi"/>
                <w:noProof/>
                <w:color w:val="000000"/>
              </w:rPr>
            </w:pPr>
            <w:r w:rsidRPr="00FA7042">
              <w:rPr>
                <w:rFonts w:asciiTheme="majorBidi" w:hAnsiTheme="majorBidi" w:cstheme="majorBidi"/>
                <w:noProof/>
                <w:color w:val="000000"/>
              </w:rPr>
              <w:t>31</w:t>
            </w:r>
          </w:p>
        </w:tc>
        <w:tc>
          <w:tcPr>
            <w:tcW w:w="2014" w:type="dxa"/>
          </w:tcPr>
          <w:p w:rsidR="006625BF" w:rsidRPr="00FA7042" w:rsidRDefault="006625BF" w:rsidP="00F32F6E">
            <w:pPr>
              <w:jc w:val="center"/>
              <w:rPr>
                <w:rFonts w:asciiTheme="majorBidi" w:hAnsiTheme="majorBidi" w:cstheme="majorBidi"/>
                <w:noProof/>
                <w:color w:val="000000"/>
              </w:rPr>
            </w:pPr>
            <w:r w:rsidRPr="00FA7042">
              <w:rPr>
                <w:rFonts w:asciiTheme="majorBidi" w:hAnsiTheme="majorBidi" w:cstheme="majorBidi"/>
                <w:noProof/>
                <w:color w:val="000000"/>
              </w:rPr>
              <w:t>2.933</w:t>
            </w:r>
            <w:r w:rsidRPr="00FA7042">
              <w:rPr>
                <w:rFonts w:asciiTheme="majorBidi" w:hAnsiTheme="majorBidi" w:cstheme="majorBidi"/>
                <w:color w:val="000000"/>
              </w:rPr>
              <w:t>±0.856</w:t>
            </w:r>
          </w:p>
        </w:tc>
        <w:tc>
          <w:tcPr>
            <w:tcW w:w="2701" w:type="dxa"/>
          </w:tcPr>
          <w:p w:rsidR="006625BF" w:rsidRPr="00FA7042" w:rsidRDefault="006625BF" w:rsidP="00F32F6E">
            <w:pPr>
              <w:jc w:val="center"/>
              <w:rPr>
                <w:rFonts w:asciiTheme="majorBidi" w:hAnsiTheme="majorBidi" w:cstheme="majorBidi"/>
                <w:noProof/>
                <w:color w:val="000000"/>
              </w:rPr>
            </w:pPr>
            <w:r w:rsidRPr="00FA7042">
              <w:rPr>
                <w:rFonts w:asciiTheme="majorBidi" w:hAnsiTheme="majorBidi" w:cstheme="majorBidi"/>
                <w:noProof/>
                <w:color w:val="000000"/>
              </w:rPr>
              <w:t>0.069</w:t>
            </w:r>
            <w:r w:rsidRPr="00FA7042">
              <w:rPr>
                <w:rFonts w:asciiTheme="majorBidi" w:hAnsiTheme="majorBidi" w:cstheme="majorBidi"/>
                <w:color w:val="000000"/>
              </w:rPr>
              <w:t>±0.020</w:t>
            </w:r>
          </w:p>
        </w:tc>
      </w:tr>
      <w:tr w:rsidR="006625BF" w:rsidRPr="00FA7042" w:rsidTr="00C44F53">
        <w:trPr>
          <w:trHeight w:val="325"/>
        </w:trPr>
        <w:tc>
          <w:tcPr>
            <w:tcW w:w="2193" w:type="dxa"/>
          </w:tcPr>
          <w:p w:rsidR="006625BF" w:rsidRPr="00FA7042" w:rsidRDefault="006625BF" w:rsidP="00F32F6E">
            <w:pPr>
              <w:jc w:val="center"/>
              <w:rPr>
                <w:rFonts w:asciiTheme="majorBidi" w:hAnsiTheme="majorBidi"/>
              </w:rPr>
            </w:pPr>
            <w:r w:rsidRPr="00FA7042">
              <w:rPr>
                <w:rFonts w:asciiTheme="majorBidi" w:hAnsiTheme="majorBidi"/>
              </w:rPr>
              <w:t>Average</w:t>
            </w:r>
          </w:p>
        </w:tc>
        <w:tc>
          <w:tcPr>
            <w:tcW w:w="2014" w:type="dxa"/>
          </w:tcPr>
          <w:p w:rsidR="006625BF" w:rsidRPr="00FA7042" w:rsidRDefault="006625BF" w:rsidP="00F32F6E">
            <w:pPr>
              <w:jc w:val="center"/>
              <w:rPr>
                <w:rFonts w:asciiTheme="majorBidi" w:hAnsiTheme="majorBidi" w:cstheme="majorBidi"/>
                <w:noProof/>
                <w:color w:val="000000"/>
              </w:rPr>
            </w:pPr>
            <w:r w:rsidRPr="00FA7042">
              <w:rPr>
                <w:rFonts w:asciiTheme="majorBidi" w:hAnsiTheme="majorBidi" w:cstheme="majorBidi"/>
                <w:noProof/>
                <w:color w:val="000000"/>
              </w:rPr>
              <w:t>40.1</w:t>
            </w:r>
          </w:p>
        </w:tc>
        <w:tc>
          <w:tcPr>
            <w:tcW w:w="2014" w:type="dxa"/>
          </w:tcPr>
          <w:p w:rsidR="006625BF" w:rsidRPr="00FA7042" w:rsidRDefault="006625BF" w:rsidP="00F32F6E">
            <w:pPr>
              <w:jc w:val="center"/>
              <w:rPr>
                <w:rFonts w:asciiTheme="majorBidi" w:hAnsiTheme="majorBidi" w:cstheme="majorBidi"/>
                <w:noProof/>
                <w:color w:val="000000"/>
              </w:rPr>
            </w:pPr>
            <w:r w:rsidRPr="00FA7042">
              <w:rPr>
                <w:rFonts w:asciiTheme="majorBidi" w:hAnsiTheme="majorBidi" w:cstheme="majorBidi"/>
                <w:noProof/>
                <w:color w:val="000000"/>
              </w:rPr>
              <w:t>2.393</w:t>
            </w:r>
            <w:r w:rsidRPr="00FA7042">
              <w:rPr>
                <w:rFonts w:asciiTheme="majorBidi" w:hAnsiTheme="majorBidi" w:cstheme="majorBidi"/>
                <w:color w:val="000000"/>
              </w:rPr>
              <w:t>±0.975</w:t>
            </w:r>
          </w:p>
        </w:tc>
        <w:tc>
          <w:tcPr>
            <w:tcW w:w="2701" w:type="dxa"/>
          </w:tcPr>
          <w:p w:rsidR="006625BF" w:rsidRPr="00FA7042" w:rsidRDefault="006625BF" w:rsidP="00F32F6E">
            <w:pPr>
              <w:jc w:val="center"/>
              <w:rPr>
                <w:rFonts w:asciiTheme="majorBidi" w:hAnsiTheme="majorBidi" w:cstheme="majorBidi"/>
                <w:noProof/>
                <w:color w:val="000000"/>
              </w:rPr>
            </w:pPr>
            <w:r w:rsidRPr="00FA7042">
              <w:rPr>
                <w:rFonts w:asciiTheme="majorBidi" w:hAnsiTheme="majorBidi" w:cstheme="majorBidi"/>
                <w:noProof/>
                <w:color w:val="000000"/>
              </w:rPr>
              <w:t>0.056</w:t>
            </w:r>
            <w:r w:rsidRPr="00FA7042">
              <w:rPr>
                <w:rFonts w:asciiTheme="majorBidi" w:hAnsiTheme="majorBidi" w:cstheme="majorBidi"/>
                <w:color w:val="000000"/>
              </w:rPr>
              <w:t>±0.015</w:t>
            </w:r>
          </w:p>
        </w:tc>
      </w:tr>
    </w:tbl>
    <w:p w:rsidR="00C44F53" w:rsidRDefault="00C44F53" w:rsidP="00377844">
      <w:pPr>
        <w:pStyle w:val="NormalWeb"/>
        <w:jc w:val="lowKashida"/>
        <w:rPr>
          <w:rFonts w:asciiTheme="majorBidi" w:hAnsiTheme="majorBidi" w:cstheme="majorBidi"/>
          <w:sz w:val="20"/>
          <w:szCs w:val="20"/>
        </w:rPr>
      </w:pPr>
    </w:p>
    <w:p w:rsidR="00C44F53" w:rsidRDefault="00C44F53" w:rsidP="00377844">
      <w:pPr>
        <w:pStyle w:val="NormalWeb"/>
        <w:jc w:val="lowKashida"/>
        <w:rPr>
          <w:rFonts w:asciiTheme="majorBidi" w:hAnsiTheme="majorBidi" w:cstheme="majorBidi"/>
          <w:sz w:val="20"/>
          <w:szCs w:val="20"/>
        </w:rPr>
      </w:pPr>
    </w:p>
    <w:p w:rsidR="006625BF" w:rsidRPr="00FA7042" w:rsidRDefault="00F32F6E" w:rsidP="00377844">
      <w:pPr>
        <w:pStyle w:val="NormalWeb"/>
        <w:jc w:val="lowKashida"/>
        <w:rPr>
          <w:rFonts w:asciiTheme="majorBidi" w:hAnsiTheme="majorBidi" w:cstheme="majorBidi"/>
          <w:color w:val="0E101A"/>
          <w:sz w:val="20"/>
          <w:szCs w:val="20"/>
          <w:lang w:bidi="ar-IQ"/>
        </w:rPr>
      </w:pPr>
      <w:r>
        <w:rPr>
          <w:rFonts w:asciiTheme="majorBidi" w:hAnsiTheme="majorBidi" w:cstheme="majorBidi"/>
          <w:sz w:val="20"/>
          <w:szCs w:val="20"/>
        </w:rPr>
        <w:t xml:space="preserve">The </w:t>
      </w:r>
      <w:r w:rsidR="006625BF" w:rsidRPr="00FA7042">
        <w:rPr>
          <w:rFonts w:asciiTheme="majorBidi" w:hAnsiTheme="majorBidi" w:cstheme="majorBidi"/>
          <w:sz w:val="20"/>
          <w:szCs w:val="20"/>
        </w:rPr>
        <w:t>results of</w:t>
      </w:r>
      <w:r w:rsidR="00446411">
        <w:rPr>
          <w:rFonts w:asciiTheme="majorBidi" w:hAnsiTheme="majorBidi" w:cstheme="majorBidi"/>
          <w:sz w:val="20"/>
          <w:szCs w:val="20"/>
        </w:rPr>
        <w:t xml:space="preserve"> the groups are represented in f</w:t>
      </w:r>
      <w:r w:rsidR="006625BF" w:rsidRPr="00FA7042">
        <w:rPr>
          <w:rFonts w:asciiTheme="majorBidi" w:hAnsiTheme="majorBidi" w:cstheme="majorBidi"/>
          <w:sz w:val="20"/>
          <w:szCs w:val="20"/>
        </w:rPr>
        <w:t xml:space="preserve">igure4 uranium concentrations with their mean value </w:t>
      </w:r>
      <w:r w:rsidR="006625BF" w:rsidRPr="00FA7042">
        <w:rPr>
          <w:rStyle w:val="Strong"/>
          <w:rFonts w:asciiTheme="majorBidi" w:hAnsiTheme="majorBidi" w:cstheme="majorBidi"/>
          <w:b w:val="0"/>
          <w:bCs w:val="0"/>
          <w:color w:val="0E101A"/>
          <w:sz w:val="20"/>
          <w:szCs w:val="20"/>
        </w:rPr>
        <w:t>in the personnel lack protective</w:t>
      </w:r>
      <w:r w:rsidR="006625BF">
        <w:rPr>
          <w:rStyle w:val="Strong"/>
          <w:rFonts w:asciiTheme="majorBidi" w:hAnsiTheme="majorBidi" w:cstheme="majorBidi"/>
          <w:b w:val="0"/>
          <w:bCs w:val="0"/>
          <w:color w:val="0E101A"/>
          <w:sz w:val="20"/>
          <w:szCs w:val="20"/>
        </w:rPr>
        <w:t xml:space="preserve"> </w:t>
      </w:r>
      <w:r w:rsidR="006625BF" w:rsidRPr="00FA7042">
        <w:rPr>
          <w:rStyle w:val="Strong"/>
          <w:rFonts w:asciiTheme="majorBidi" w:hAnsiTheme="majorBidi" w:cstheme="majorBidi"/>
          <w:b w:val="0"/>
          <w:bCs w:val="0"/>
          <w:color w:val="0E101A"/>
          <w:sz w:val="20"/>
          <w:szCs w:val="20"/>
        </w:rPr>
        <w:t>mea</w:t>
      </w:r>
      <w:r w:rsidR="00491D15">
        <w:rPr>
          <w:rStyle w:val="Strong"/>
          <w:rFonts w:asciiTheme="majorBidi" w:hAnsiTheme="majorBidi" w:cstheme="majorBidi"/>
          <w:b w:val="0"/>
          <w:bCs w:val="0"/>
          <w:color w:val="0E101A"/>
          <w:sz w:val="20"/>
          <w:szCs w:val="20"/>
        </w:rPr>
        <w:t>sures, with protective measures</w:t>
      </w:r>
      <w:r w:rsidR="006625BF" w:rsidRPr="00FA7042">
        <w:rPr>
          <w:rStyle w:val="Strong"/>
          <w:rFonts w:asciiTheme="majorBidi" w:hAnsiTheme="majorBidi" w:cstheme="majorBidi"/>
          <w:b w:val="0"/>
          <w:bCs w:val="0"/>
          <w:color w:val="0E101A"/>
          <w:sz w:val="20"/>
          <w:szCs w:val="20"/>
        </w:rPr>
        <w:t>,</w:t>
      </w:r>
      <w:r w:rsidR="00491D15">
        <w:rPr>
          <w:rStyle w:val="Strong"/>
          <w:rFonts w:asciiTheme="majorBidi" w:hAnsiTheme="majorBidi" w:cstheme="majorBidi"/>
          <w:b w:val="0"/>
          <w:bCs w:val="0"/>
          <w:color w:val="0E101A"/>
          <w:sz w:val="20"/>
          <w:szCs w:val="20"/>
        </w:rPr>
        <w:t xml:space="preserve"> </w:t>
      </w:r>
      <w:r w:rsidR="006625BF" w:rsidRPr="00FA7042">
        <w:rPr>
          <w:rStyle w:val="Strong"/>
          <w:rFonts w:asciiTheme="majorBidi" w:hAnsiTheme="majorBidi" w:cstheme="majorBidi"/>
          <w:b w:val="0"/>
          <w:bCs w:val="0"/>
          <w:color w:val="0E101A"/>
          <w:sz w:val="20"/>
          <w:szCs w:val="20"/>
        </w:rPr>
        <w:t>and control group.</w:t>
      </w:r>
      <w:r w:rsidR="006625BF" w:rsidRPr="00FA7042">
        <w:rPr>
          <w:rFonts w:asciiTheme="majorBidi" w:hAnsiTheme="majorBidi" w:cstheme="majorBidi"/>
          <w:color w:val="0E101A"/>
          <w:sz w:val="20"/>
          <w:szCs w:val="20"/>
          <w:lang w:bidi="ar-IQ"/>
        </w:rPr>
        <w:t xml:space="preserve"> The result of linear correlation between</w:t>
      </w:r>
      <w:r w:rsidR="006625BF">
        <w:rPr>
          <w:rFonts w:asciiTheme="majorBidi" w:hAnsiTheme="majorBidi" w:cstheme="majorBidi"/>
          <w:color w:val="0E101A"/>
          <w:sz w:val="20"/>
          <w:szCs w:val="20"/>
          <w:lang w:bidi="ar-IQ"/>
        </w:rPr>
        <w:t xml:space="preserve"> u</w:t>
      </w:r>
      <w:r w:rsidR="006625BF" w:rsidRPr="00FA7042">
        <w:rPr>
          <w:rFonts w:asciiTheme="majorBidi" w:hAnsiTheme="majorBidi" w:cstheme="majorBidi"/>
          <w:color w:val="0E101A"/>
          <w:sz w:val="20"/>
          <w:szCs w:val="20"/>
          <w:lang w:bidi="ar-IQ"/>
        </w:rPr>
        <w:t>ranium concentrations and duration of employment are presented in figure</w:t>
      </w:r>
      <w:r w:rsidR="00CD59DE">
        <w:rPr>
          <w:rFonts w:asciiTheme="majorBidi" w:hAnsiTheme="majorBidi" w:cstheme="majorBidi"/>
          <w:color w:val="0E101A"/>
          <w:sz w:val="20"/>
          <w:szCs w:val="20"/>
          <w:lang w:bidi="ar-IQ"/>
        </w:rPr>
        <w:t xml:space="preserve"> </w:t>
      </w:r>
      <w:r w:rsidR="006625BF" w:rsidRPr="00FA7042">
        <w:rPr>
          <w:rFonts w:asciiTheme="majorBidi" w:hAnsiTheme="majorBidi" w:cstheme="majorBidi"/>
          <w:color w:val="0E101A"/>
          <w:sz w:val="20"/>
          <w:szCs w:val="20"/>
          <w:lang w:bidi="ar-IQ"/>
        </w:rPr>
        <w:t>5.</w:t>
      </w:r>
      <w:r w:rsidR="00CD59DE">
        <w:rPr>
          <w:rFonts w:asciiTheme="majorBidi" w:hAnsiTheme="majorBidi" w:cstheme="majorBidi"/>
          <w:color w:val="0E101A"/>
          <w:sz w:val="20"/>
          <w:szCs w:val="20"/>
          <w:lang w:bidi="ar-IQ"/>
        </w:rPr>
        <w:t xml:space="preserve"> </w:t>
      </w:r>
    </w:p>
    <w:p w:rsidR="005870C7" w:rsidRDefault="00CD59DE" w:rsidP="00CD59DE">
      <w:pPr>
        <w:tabs>
          <w:tab w:val="left" w:pos="426"/>
        </w:tabs>
        <w:rPr>
          <w:b/>
          <w:bCs/>
        </w:rPr>
      </w:pPr>
      <w:r w:rsidRPr="006625BF">
        <w:rPr>
          <w:b/>
          <w:bCs/>
          <w:noProof/>
        </w:rPr>
        <w:lastRenderedPageBreak/>
        <w:drawing>
          <wp:anchor distT="0" distB="0" distL="114300" distR="114300" simplePos="0" relativeHeight="251659264" behindDoc="0" locked="0" layoutInCell="1" allowOverlap="1" wp14:anchorId="340D7628" wp14:editId="037ABC5E">
            <wp:simplePos x="0" y="0"/>
            <wp:positionH relativeFrom="column">
              <wp:posOffset>-129540</wp:posOffset>
            </wp:positionH>
            <wp:positionV relativeFrom="paragraph">
              <wp:posOffset>-6985</wp:posOffset>
            </wp:positionV>
            <wp:extent cx="6219825" cy="3067050"/>
            <wp:effectExtent l="0" t="0" r="9525" b="0"/>
            <wp:wrapTopAndBottom/>
            <wp:docPr id="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9825" cy="30670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D59DE" w:rsidRPr="00FA7042" w:rsidRDefault="00CD59DE" w:rsidP="00CD59DE">
      <w:pPr>
        <w:rPr>
          <w:rFonts w:asciiTheme="majorBidi" w:hAnsiTheme="majorBidi" w:cstheme="majorBidi"/>
        </w:rPr>
      </w:pPr>
      <w:r w:rsidRPr="00FA7042">
        <w:rPr>
          <w:rFonts w:asciiTheme="majorBidi" w:hAnsiTheme="majorBidi" w:cstheme="majorBidi"/>
        </w:rPr>
        <w:t>Fig4:</w:t>
      </w:r>
      <w:r>
        <w:rPr>
          <w:rFonts w:asciiTheme="majorBidi" w:hAnsiTheme="majorBidi" w:cstheme="majorBidi"/>
        </w:rPr>
        <w:t xml:space="preserve"> </w:t>
      </w:r>
      <w:r w:rsidRPr="00FA7042">
        <w:rPr>
          <w:rFonts w:asciiTheme="majorBidi" w:hAnsiTheme="majorBidi" w:cstheme="majorBidi"/>
        </w:rPr>
        <w:t xml:space="preserve">Mean values of uranium concentration in personnel lack protective </w:t>
      </w:r>
      <w:proofErr w:type="gramStart"/>
      <w:r w:rsidRPr="00FA7042">
        <w:rPr>
          <w:rFonts w:asciiTheme="majorBidi" w:hAnsiTheme="majorBidi" w:cstheme="majorBidi"/>
        </w:rPr>
        <w:t>measures ,personnel</w:t>
      </w:r>
      <w:proofErr w:type="gramEnd"/>
      <w:r w:rsidRPr="00FA7042">
        <w:rPr>
          <w:rFonts w:asciiTheme="majorBidi" w:hAnsiTheme="majorBidi" w:cstheme="majorBidi"/>
        </w:rPr>
        <w:t xml:space="preserve"> with protective measure, and control.</w:t>
      </w:r>
      <w:r>
        <w:rPr>
          <w:rFonts w:asciiTheme="majorBidi" w:hAnsiTheme="majorBidi" w:cstheme="majorBidi"/>
        </w:rPr>
        <w:t xml:space="preserve"> </w:t>
      </w:r>
    </w:p>
    <w:p w:rsidR="005870C7" w:rsidRDefault="00CD59DE" w:rsidP="00377844">
      <w:pPr>
        <w:tabs>
          <w:tab w:val="left" w:pos="426"/>
        </w:tabs>
        <w:rPr>
          <w:b/>
          <w:bCs/>
        </w:rPr>
      </w:pPr>
      <w:r w:rsidRPr="006625BF">
        <w:rPr>
          <w:b/>
          <w:bCs/>
          <w:noProof/>
        </w:rPr>
        <w:drawing>
          <wp:anchor distT="0" distB="0" distL="114300" distR="114300" simplePos="0" relativeHeight="251660288" behindDoc="0" locked="0" layoutInCell="1" allowOverlap="1" wp14:anchorId="15B8C6CE" wp14:editId="6CAF887A">
            <wp:simplePos x="0" y="0"/>
            <wp:positionH relativeFrom="column">
              <wp:posOffset>-15240</wp:posOffset>
            </wp:positionH>
            <wp:positionV relativeFrom="paragraph">
              <wp:posOffset>227965</wp:posOffset>
            </wp:positionV>
            <wp:extent cx="5974080" cy="3215640"/>
            <wp:effectExtent l="0" t="0" r="26670" b="22860"/>
            <wp:wrapTopAndBottom/>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DF6A4D" w:rsidRDefault="00DF6A4D" w:rsidP="00377844">
      <w:pPr>
        <w:tabs>
          <w:tab w:val="left" w:pos="426"/>
        </w:tabs>
        <w:rPr>
          <w:b/>
          <w:bCs/>
        </w:rPr>
      </w:pPr>
    </w:p>
    <w:p w:rsidR="00CD59DE" w:rsidRPr="00FA7042" w:rsidRDefault="00CD59DE" w:rsidP="00CD59DE">
      <w:pPr>
        <w:rPr>
          <w:rFonts w:asciiTheme="majorBidi" w:hAnsiTheme="majorBidi" w:cstheme="majorBidi"/>
          <w:b/>
          <w:bCs/>
        </w:rPr>
      </w:pPr>
      <w:r w:rsidRPr="00FA7042">
        <w:rPr>
          <w:rFonts w:asciiTheme="majorBidi" w:hAnsiTheme="majorBidi" w:cstheme="majorBidi"/>
          <w:lang w:bidi="ar-IQ"/>
        </w:rPr>
        <w:t>Figure5:</w:t>
      </w:r>
      <w:r>
        <w:rPr>
          <w:rFonts w:asciiTheme="majorBidi" w:hAnsiTheme="majorBidi" w:cstheme="majorBidi"/>
          <w:lang w:bidi="ar-IQ"/>
        </w:rPr>
        <w:t xml:space="preserve"> </w:t>
      </w:r>
      <w:r w:rsidRPr="00FA7042">
        <w:rPr>
          <w:rFonts w:asciiTheme="majorBidi" w:hAnsiTheme="majorBidi" w:cstheme="majorBidi"/>
        </w:rPr>
        <w:t>Linear correlation association between duration of employment and uranium concentration</w:t>
      </w:r>
      <w:r w:rsidRPr="00FA7042">
        <w:rPr>
          <w:rFonts w:asciiTheme="majorBidi" w:hAnsiTheme="majorBidi" w:cstheme="majorBidi"/>
          <w:b/>
          <w:bCs/>
        </w:rPr>
        <w:t>.</w:t>
      </w:r>
    </w:p>
    <w:p w:rsidR="00DF6A4D" w:rsidRDefault="00DF6A4D" w:rsidP="00377844">
      <w:pPr>
        <w:tabs>
          <w:tab w:val="left" w:pos="426"/>
        </w:tabs>
        <w:rPr>
          <w:b/>
          <w:bCs/>
        </w:rPr>
      </w:pPr>
    </w:p>
    <w:p w:rsidR="00DF6A4D" w:rsidRDefault="00DF6A4D" w:rsidP="00377844">
      <w:pPr>
        <w:tabs>
          <w:tab w:val="left" w:pos="426"/>
        </w:tabs>
        <w:rPr>
          <w:b/>
          <w:bCs/>
        </w:rPr>
      </w:pPr>
    </w:p>
    <w:p w:rsidR="00DF6A4D" w:rsidRDefault="00DF6A4D" w:rsidP="00377844">
      <w:pPr>
        <w:tabs>
          <w:tab w:val="left" w:pos="426"/>
        </w:tabs>
        <w:rPr>
          <w:b/>
          <w:bCs/>
        </w:rPr>
      </w:pPr>
    </w:p>
    <w:p w:rsidR="00DF6A4D" w:rsidRDefault="00DF6A4D" w:rsidP="00377844">
      <w:pPr>
        <w:tabs>
          <w:tab w:val="left" w:pos="426"/>
        </w:tabs>
        <w:rPr>
          <w:b/>
          <w:bCs/>
        </w:rPr>
      </w:pPr>
    </w:p>
    <w:p w:rsidR="00DF6A4D" w:rsidRDefault="00DF6A4D" w:rsidP="00377844">
      <w:pPr>
        <w:tabs>
          <w:tab w:val="left" w:pos="426"/>
        </w:tabs>
        <w:rPr>
          <w:b/>
          <w:bCs/>
        </w:rPr>
      </w:pPr>
    </w:p>
    <w:p w:rsidR="00FC7E2A" w:rsidRDefault="00FC7E2A" w:rsidP="00CC5ABE">
      <w:pPr>
        <w:jc w:val="both"/>
        <w:rPr>
          <w:bCs/>
        </w:rPr>
      </w:pPr>
    </w:p>
    <w:p w:rsidR="00FC7E2A" w:rsidRPr="00FA7042" w:rsidRDefault="00FC7E2A" w:rsidP="008028C0">
      <w:pPr>
        <w:pStyle w:val="NormalWeb"/>
        <w:jc w:val="lowKashida"/>
        <w:rPr>
          <w:rFonts w:asciiTheme="majorBidi" w:hAnsiTheme="majorBidi" w:cstheme="majorBidi"/>
          <w:color w:val="0E101A"/>
          <w:sz w:val="20"/>
          <w:szCs w:val="20"/>
          <w:lang w:bidi="ar-IQ"/>
        </w:rPr>
      </w:pPr>
      <w:r w:rsidRPr="00FA7042">
        <w:rPr>
          <w:rFonts w:asciiTheme="majorBidi" w:hAnsiTheme="majorBidi" w:cstheme="majorBidi"/>
          <w:color w:val="0E101A"/>
          <w:sz w:val="20"/>
          <w:szCs w:val="20"/>
          <w:lang w:bidi="ar-IQ"/>
        </w:rPr>
        <w:lastRenderedPageBreak/>
        <w:t xml:space="preserve">The highest uranium concentration was observed in the blood of personnel who lacked protective </w:t>
      </w:r>
      <w:r w:rsidR="00610A3C">
        <w:rPr>
          <w:rFonts w:asciiTheme="majorBidi" w:hAnsiTheme="majorBidi" w:cstheme="majorBidi"/>
          <w:color w:val="0E101A"/>
          <w:sz w:val="20"/>
          <w:szCs w:val="20"/>
          <w:lang w:bidi="ar-IQ"/>
        </w:rPr>
        <w:t xml:space="preserve">measures compared to personnel </w:t>
      </w:r>
      <w:r w:rsidRPr="00FA7042">
        <w:rPr>
          <w:rFonts w:asciiTheme="majorBidi" w:hAnsiTheme="majorBidi" w:cstheme="majorBidi"/>
          <w:color w:val="0E101A"/>
          <w:sz w:val="20"/>
          <w:szCs w:val="20"/>
          <w:lang w:bidi="ar-IQ"/>
        </w:rPr>
        <w:t>with protective measures and control subjects.</w:t>
      </w:r>
      <w:r w:rsidR="00CA67C2">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 xml:space="preserve">This study's results also show a high uranium concentration in the personnel with protective measures compared to the control subjects. Statistical analysis indicates a highly significant difference (p&lt;0.001) in uranium concentration between the groups. The elevated values of uranium concentration in a blood sample of personnel in The </w:t>
      </w:r>
      <w:proofErr w:type="spellStart"/>
      <w:r w:rsidRPr="00FA7042">
        <w:rPr>
          <w:rFonts w:asciiTheme="majorBidi" w:hAnsiTheme="majorBidi" w:cstheme="majorBidi"/>
          <w:color w:val="0E101A"/>
          <w:sz w:val="20"/>
          <w:szCs w:val="20"/>
          <w:lang w:bidi="ar-IQ"/>
        </w:rPr>
        <w:t>Tuwaitha</w:t>
      </w:r>
      <w:proofErr w:type="spellEnd"/>
      <w:r w:rsidRPr="00FA7042">
        <w:rPr>
          <w:rFonts w:asciiTheme="majorBidi" w:hAnsiTheme="majorBidi" w:cstheme="majorBidi"/>
          <w:color w:val="0E101A"/>
          <w:sz w:val="20"/>
          <w:szCs w:val="20"/>
          <w:lang w:bidi="ar-IQ"/>
        </w:rPr>
        <w:t xml:space="preserve"> </w:t>
      </w:r>
      <w:r w:rsidR="00610A3C" w:rsidRPr="00FA7042">
        <w:rPr>
          <w:rFonts w:asciiTheme="majorBidi" w:hAnsiTheme="majorBidi" w:cstheme="majorBidi"/>
          <w:color w:val="0E101A"/>
          <w:sz w:val="20"/>
          <w:szCs w:val="20"/>
          <w:lang w:bidi="ar-IQ"/>
        </w:rPr>
        <w:t>site</w:t>
      </w:r>
      <w:r w:rsidRPr="00FA7042">
        <w:rPr>
          <w:rFonts w:asciiTheme="majorBidi" w:hAnsiTheme="majorBidi" w:cstheme="majorBidi"/>
          <w:color w:val="0E101A"/>
          <w:sz w:val="20"/>
          <w:szCs w:val="20"/>
          <w:lang w:bidi="ar-IQ"/>
        </w:rPr>
        <w:t xml:space="preserve"> may be due to inner uranium contamination. Inner contamination with uranium is hurtful because the intact epidermis is serves</w:t>
      </w:r>
      <w:r>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as an effective barrier against external environmental factors, inner uranium</w:t>
      </w:r>
      <w:r>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contamination occurs throu</w:t>
      </w:r>
      <w:r w:rsidR="00610A3C">
        <w:rPr>
          <w:rFonts w:asciiTheme="majorBidi" w:hAnsiTheme="majorBidi" w:cstheme="majorBidi"/>
          <w:color w:val="0E101A"/>
          <w:sz w:val="20"/>
          <w:szCs w:val="20"/>
          <w:lang w:bidi="ar-IQ"/>
        </w:rPr>
        <w:t>gh the mechanisms of inhalation</w:t>
      </w:r>
      <w:r w:rsidRPr="00FA7042">
        <w:rPr>
          <w:rFonts w:asciiTheme="majorBidi" w:hAnsiTheme="majorBidi" w:cstheme="majorBidi"/>
          <w:color w:val="0E101A"/>
          <w:sz w:val="20"/>
          <w:szCs w:val="20"/>
          <w:lang w:bidi="ar-IQ"/>
        </w:rPr>
        <w:t>,</w:t>
      </w:r>
      <w:r w:rsidR="00610A3C">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ingestion, and dermal or wound contact</w:t>
      </w:r>
      <w:r w:rsidR="00610A3C">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w:t>
      </w:r>
      <w:r w:rsidRPr="00610A3C">
        <w:rPr>
          <w:rFonts w:asciiTheme="majorBidi" w:hAnsiTheme="majorBidi" w:cstheme="majorBidi"/>
          <w:sz w:val="20"/>
          <w:szCs w:val="20"/>
          <w:lang w:bidi="ar-IQ"/>
        </w:rPr>
        <w:t>34</w:t>
      </w:r>
      <w:r w:rsidRPr="00FA7042">
        <w:rPr>
          <w:rFonts w:asciiTheme="majorBidi" w:hAnsiTheme="majorBidi" w:cstheme="majorBidi"/>
          <w:color w:val="0E101A"/>
          <w:sz w:val="20"/>
          <w:szCs w:val="20"/>
          <w:lang w:bidi="ar-IQ"/>
        </w:rPr>
        <w:t xml:space="preserve">]. The result of this study </w:t>
      </w:r>
      <w:r w:rsidR="00610A3C">
        <w:rPr>
          <w:rFonts w:asciiTheme="majorBidi" w:hAnsiTheme="majorBidi" w:cstheme="majorBidi"/>
          <w:color w:val="0E101A"/>
          <w:sz w:val="20"/>
          <w:szCs w:val="20"/>
          <w:lang w:bidi="ar-IQ"/>
        </w:rPr>
        <w:t xml:space="preserve">indicates a correlation between </w:t>
      </w:r>
      <w:r w:rsidRPr="00FA7042">
        <w:rPr>
          <w:rFonts w:asciiTheme="majorBidi" w:hAnsiTheme="majorBidi" w:cstheme="majorBidi"/>
          <w:color w:val="0E101A"/>
          <w:sz w:val="20"/>
          <w:szCs w:val="20"/>
          <w:lang w:bidi="ar-IQ"/>
        </w:rPr>
        <w:t xml:space="preserve">uranium concentrations and duration of employment. This correlation demonstrated a positive linear </w:t>
      </w:r>
      <w:r w:rsidR="00610A3C" w:rsidRPr="00FA7042">
        <w:rPr>
          <w:rFonts w:asciiTheme="majorBidi" w:hAnsiTheme="majorBidi" w:cstheme="majorBidi"/>
          <w:color w:val="0E101A"/>
          <w:sz w:val="20"/>
          <w:szCs w:val="20"/>
          <w:lang w:bidi="ar-IQ"/>
        </w:rPr>
        <w:t>relationship (</w:t>
      </w:r>
      <w:r w:rsidRPr="00FA7042">
        <w:rPr>
          <w:rFonts w:asciiTheme="majorBidi" w:hAnsiTheme="majorBidi" w:cstheme="majorBidi"/>
          <w:color w:val="0E101A"/>
          <w:sz w:val="20"/>
          <w:szCs w:val="20"/>
          <w:lang w:bidi="ar-IQ"/>
        </w:rPr>
        <w:t>r=0.7106,</w:t>
      </w:r>
      <w:r w:rsidR="00610A3C">
        <w:rPr>
          <w:rFonts w:asciiTheme="majorBidi" w:hAnsiTheme="majorBidi" w:cstheme="majorBidi"/>
          <w:color w:val="0E101A"/>
          <w:sz w:val="20"/>
          <w:szCs w:val="20"/>
          <w:lang w:bidi="ar-IQ"/>
        </w:rPr>
        <w:t xml:space="preserve"> P&lt;0.001)</w:t>
      </w:r>
      <w:r w:rsidRPr="00FA7042">
        <w:rPr>
          <w:rFonts w:asciiTheme="majorBidi" w:hAnsiTheme="majorBidi" w:cstheme="majorBidi"/>
          <w:color w:val="0E101A"/>
          <w:sz w:val="20"/>
          <w:szCs w:val="20"/>
          <w:lang w:bidi="ar-IQ"/>
        </w:rPr>
        <w:t>,</w:t>
      </w:r>
      <w:r w:rsidR="00610A3C">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indicating that uranium concentration increases with increas</w:t>
      </w:r>
      <w:r w:rsidR="00610A3C">
        <w:rPr>
          <w:rFonts w:asciiTheme="majorBidi" w:hAnsiTheme="majorBidi" w:cstheme="majorBidi"/>
          <w:color w:val="0E101A"/>
          <w:sz w:val="20"/>
          <w:szCs w:val="20"/>
          <w:lang w:bidi="ar-IQ"/>
        </w:rPr>
        <w:t xml:space="preserve">ed duration of employment. High </w:t>
      </w:r>
      <w:r w:rsidRPr="00FA7042">
        <w:rPr>
          <w:rFonts w:asciiTheme="majorBidi" w:hAnsiTheme="majorBidi" w:cstheme="majorBidi"/>
          <w:color w:val="0E101A"/>
          <w:sz w:val="20"/>
          <w:szCs w:val="20"/>
          <w:lang w:bidi="ar-IQ"/>
        </w:rPr>
        <w:t>uranium concentrations were obtained ranging from</w:t>
      </w:r>
      <w:r w:rsidR="00610A3C">
        <w:rPr>
          <w:rFonts w:asciiTheme="majorBidi" w:hAnsiTheme="majorBidi" w:cstheme="majorBidi"/>
          <w:color w:val="0E101A"/>
          <w:sz w:val="20"/>
          <w:szCs w:val="20"/>
          <w:lang w:bidi="ar-IQ"/>
        </w:rPr>
        <w:t xml:space="preserve"> (0.170±0.024ppb)</w:t>
      </w:r>
      <w:r w:rsidR="008028C0">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to</w:t>
      </w:r>
      <w:r w:rsidR="008028C0">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(0.273</w:t>
      </w:r>
      <w:r w:rsidR="008028C0">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w:t>
      </w:r>
      <w:r w:rsidR="008028C0">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0.0ppb) with a duration of employment ranging from (30-35years), which a rises the occurrence of the stochastic effects. The stochastic effects manifest as a consequence of minimal exposure received over a long time, leading to genetic alterations through modifications of the geneti</w:t>
      </w:r>
      <w:r>
        <w:rPr>
          <w:rFonts w:asciiTheme="majorBidi" w:hAnsiTheme="majorBidi" w:cstheme="majorBidi"/>
          <w:color w:val="0E101A"/>
          <w:sz w:val="20"/>
          <w:szCs w:val="20"/>
          <w:lang w:bidi="ar-IQ"/>
        </w:rPr>
        <w:t xml:space="preserve">c </w:t>
      </w:r>
      <w:r w:rsidRPr="00FA7042">
        <w:rPr>
          <w:rFonts w:asciiTheme="majorBidi" w:hAnsiTheme="majorBidi" w:cstheme="majorBidi"/>
          <w:color w:val="0E101A"/>
          <w:sz w:val="20"/>
          <w:szCs w:val="20"/>
          <w:lang w:bidi="ar-IQ"/>
        </w:rPr>
        <w:t>code, which subsequently result in the development of various malignancies and morphological anomalies [</w:t>
      </w:r>
      <w:r w:rsidRPr="008028C0">
        <w:rPr>
          <w:rFonts w:asciiTheme="majorBidi" w:hAnsiTheme="majorBidi" w:cstheme="majorBidi"/>
          <w:sz w:val="20"/>
          <w:szCs w:val="20"/>
          <w:lang w:bidi="ar-IQ"/>
        </w:rPr>
        <w:t>35-37</w:t>
      </w:r>
      <w:r w:rsidRPr="00FA7042">
        <w:rPr>
          <w:rFonts w:asciiTheme="majorBidi" w:hAnsiTheme="majorBidi" w:cstheme="majorBidi"/>
          <w:color w:val="0E101A"/>
          <w:sz w:val="20"/>
          <w:szCs w:val="20"/>
          <w:lang w:bidi="ar-IQ"/>
        </w:rPr>
        <w:t>] Uranium is postulated to function as both a</w:t>
      </w:r>
      <w:r>
        <w:rPr>
          <w:rFonts w:asciiTheme="majorBidi" w:hAnsiTheme="majorBidi" w:cstheme="majorBidi"/>
          <w:color w:val="0E101A"/>
          <w:sz w:val="20"/>
          <w:szCs w:val="20"/>
          <w:lang w:bidi="ar-IQ"/>
        </w:rPr>
        <w:t xml:space="preserve"> </w:t>
      </w:r>
      <w:proofErr w:type="spellStart"/>
      <w:r w:rsidRPr="00FA7042">
        <w:rPr>
          <w:rFonts w:asciiTheme="majorBidi" w:hAnsiTheme="majorBidi" w:cstheme="majorBidi"/>
          <w:color w:val="0E101A"/>
          <w:sz w:val="20"/>
          <w:szCs w:val="20"/>
          <w:lang w:bidi="ar-IQ"/>
        </w:rPr>
        <w:t>clastogen</w:t>
      </w:r>
      <w:proofErr w:type="spellEnd"/>
      <w:r w:rsidRPr="00FA7042">
        <w:rPr>
          <w:rFonts w:asciiTheme="majorBidi" w:hAnsiTheme="majorBidi" w:cstheme="majorBidi"/>
          <w:color w:val="0E101A"/>
          <w:sz w:val="20"/>
          <w:szCs w:val="20"/>
          <w:lang w:bidi="ar-IQ"/>
        </w:rPr>
        <w:t xml:space="preserve"> and an</w:t>
      </w:r>
      <w:r>
        <w:rPr>
          <w:rFonts w:asciiTheme="majorBidi" w:hAnsiTheme="majorBidi" w:cstheme="majorBidi"/>
          <w:color w:val="0E101A"/>
          <w:sz w:val="20"/>
          <w:szCs w:val="20"/>
          <w:lang w:bidi="ar-IQ"/>
        </w:rPr>
        <w:t xml:space="preserve"> </w:t>
      </w:r>
      <w:proofErr w:type="spellStart"/>
      <w:r w:rsidRPr="00FA7042">
        <w:rPr>
          <w:rFonts w:asciiTheme="majorBidi" w:hAnsiTheme="majorBidi" w:cstheme="majorBidi"/>
          <w:color w:val="0E101A"/>
          <w:sz w:val="20"/>
          <w:szCs w:val="20"/>
          <w:lang w:bidi="ar-IQ"/>
        </w:rPr>
        <w:t>aneugen</w:t>
      </w:r>
      <w:proofErr w:type="spellEnd"/>
      <w:r w:rsidRPr="00FA7042">
        <w:rPr>
          <w:rFonts w:asciiTheme="majorBidi" w:hAnsiTheme="majorBidi" w:cstheme="majorBidi"/>
          <w:color w:val="0E101A"/>
          <w:sz w:val="20"/>
          <w:szCs w:val="20"/>
          <w:lang w:bidi="ar-IQ"/>
        </w:rPr>
        <w:t>; it possesses the ability to induce various forms of chromosomal aberrations and DNA damage via incorrect rejoining and double- strands DNA breaks [</w:t>
      </w:r>
      <w:r w:rsidRPr="008028C0">
        <w:rPr>
          <w:rFonts w:asciiTheme="majorBidi" w:hAnsiTheme="majorBidi" w:cstheme="majorBidi"/>
          <w:sz w:val="20"/>
          <w:szCs w:val="20"/>
          <w:lang w:bidi="ar-IQ"/>
        </w:rPr>
        <w:t>38,39</w:t>
      </w:r>
      <w:r w:rsidRPr="00FA7042">
        <w:rPr>
          <w:rFonts w:asciiTheme="majorBidi" w:hAnsiTheme="majorBidi" w:cstheme="majorBidi"/>
          <w:color w:val="0E101A"/>
          <w:sz w:val="20"/>
          <w:szCs w:val="20"/>
          <w:lang w:bidi="ar-IQ"/>
        </w:rPr>
        <w:t>]. Ionizing radiation that emit from uranium (α-particles and</w:t>
      </w:r>
      <w:r>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 xml:space="preserve">γ-rays) can cause heritable damages even at very low doses and considered a genotoxic factor for human. Previous study showed that higher DNA damage in personnel of </w:t>
      </w:r>
      <w:proofErr w:type="spellStart"/>
      <w:r w:rsidRPr="00FA7042">
        <w:rPr>
          <w:rFonts w:asciiTheme="majorBidi" w:hAnsiTheme="majorBidi" w:cstheme="majorBidi"/>
          <w:color w:val="0E101A"/>
          <w:sz w:val="20"/>
          <w:szCs w:val="20"/>
          <w:lang w:bidi="ar-IQ"/>
        </w:rPr>
        <w:t>Tuwaitha</w:t>
      </w:r>
      <w:proofErr w:type="spellEnd"/>
      <w:r w:rsidRPr="00FA7042">
        <w:rPr>
          <w:rFonts w:asciiTheme="majorBidi" w:hAnsiTheme="majorBidi" w:cstheme="majorBidi"/>
          <w:color w:val="0E101A"/>
          <w:sz w:val="20"/>
          <w:szCs w:val="20"/>
          <w:lang w:bidi="ar-IQ"/>
        </w:rPr>
        <w:t xml:space="preserve"> site due</w:t>
      </w:r>
      <w:r>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to exposure to radiation at their place of employment [</w:t>
      </w:r>
      <w:r w:rsidRPr="008028C0">
        <w:rPr>
          <w:rFonts w:asciiTheme="majorBidi" w:hAnsiTheme="majorBidi" w:cstheme="majorBidi"/>
          <w:sz w:val="20"/>
          <w:szCs w:val="20"/>
          <w:lang w:bidi="ar-IQ"/>
        </w:rPr>
        <w:t>40,</w:t>
      </w:r>
      <w:r w:rsidR="008028C0">
        <w:rPr>
          <w:rFonts w:asciiTheme="majorBidi" w:hAnsiTheme="majorBidi" w:cstheme="majorBidi"/>
          <w:sz w:val="20"/>
          <w:szCs w:val="20"/>
          <w:lang w:bidi="ar-IQ"/>
        </w:rPr>
        <w:t xml:space="preserve"> </w:t>
      </w:r>
      <w:r w:rsidRPr="008028C0">
        <w:rPr>
          <w:rFonts w:asciiTheme="majorBidi" w:hAnsiTheme="majorBidi" w:cstheme="majorBidi"/>
          <w:sz w:val="20"/>
          <w:szCs w:val="20"/>
          <w:lang w:bidi="ar-IQ"/>
        </w:rPr>
        <w:t>41</w:t>
      </w:r>
      <w:r w:rsidRPr="00FA7042">
        <w:rPr>
          <w:rFonts w:asciiTheme="majorBidi" w:hAnsiTheme="majorBidi" w:cstheme="majorBidi"/>
          <w:color w:val="0E101A"/>
          <w:sz w:val="20"/>
          <w:szCs w:val="20"/>
          <w:lang w:bidi="ar-IQ"/>
        </w:rPr>
        <w:t>].</w:t>
      </w:r>
      <w:r w:rsidR="008028C0">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Ionizing radiation has the potential to cause various kind</w:t>
      </w:r>
      <w:r w:rsidR="008028C0">
        <w:rPr>
          <w:rFonts w:asciiTheme="majorBidi" w:hAnsiTheme="majorBidi" w:cstheme="majorBidi"/>
          <w:color w:val="0E101A"/>
          <w:sz w:val="20"/>
          <w:szCs w:val="20"/>
          <w:lang w:bidi="ar-IQ"/>
        </w:rPr>
        <w:t>s</w:t>
      </w:r>
      <w:r w:rsidRPr="00FA7042">
        <w:rPr>
          <w:rFonts w:asciiTheme="majorBidi" w:hAnsiTheme="majorBidi" w:cstheme="majorBidi"/>
          <w:color w:val="0E101A"/>
          <w:sz w:val="20"/>
          <w:szCs w:val="20"/>
          <w:lang w:bidi="ar-IQ"/>
        </w:rPr>
        <w:t xml:space="preserve"> of mutations. </w:t>
      </w:r>
      <w:r w:rsidRPr="00FA7042">
        <w:rPr>
          <w:sz w:val="20"/>
          <w:szCs w:val="20"/>
        </w:rPr>
        <w:t>Radiation exposure increases the rate of mutations in cells</w:t>
      </w:r>
      <w:r w:rsidRPr="00FA7042">
        <w:rPr>
          <w:rFonts w:asciiTheme="majorBidi" w:hAnsiTheme="majorBidi" w:cstheme="majorBidi"/>
          <w:color w:val="0E101A"/>
          <w:sz w:val="20"/>
          <w:szCs w:val="20"/>
          <w:lang w:bidi="ar-IQ"/>
        </w:rPr>
        <w:t>, which can result in alterations to the organism’s genetic material [</w:t>
      </w:r>
      <w:r w:rsidRPr="008028C0">
        <w:rPr>
          <w:rFonts w:asciiTheme="majorBidi" w:hAnsiTheme="majorBidi" w:cstheme="majorBidi"/>
          <w:sz w:val="20"/>
          <w:szCs w:val="20"/>
          <w:lang w:bidi="ar-IQ"/>
        </w:rPr>
        <w:t>42</w:t>
      </w:r>
      <w:r w:rsidR="008028C0">
        <w:rPr>
          <w:rFonts w:asciiTheme="majorBidi" w:hAnsiTheme="majorBidi" w:cstheme="majorBidi"/>
          <w:color w:val="0E101A"/>
          <w:sz w:val="20"/>
          <w:szCs w:val="20"/>
          <w:lang w:bidi="ar-IQ"/>
        </w:rPr>
        <w:t>]. Working suits can utilize</w:t>
      </w:r>
      <w:r w:rsidRPr="00FA7042">
        <w:rPr>
          <w:rFonts w:asciiTheme="majorBidi" w:hAnsiTheme="majorBidi" w:cstheme="majorBidi"/>
          <w:color w:val="0E101A"/>
          <w:sz w:val="20"/>
          <w:szCs w:val="20"/>
          <w:lang w:bidi="ar-IQ"/>
        </w:rPr>
        <w:t xml:space="preserve"> to protect personnel from radiation and radioactive elements. The results of the present study showed a significant decrease in uranium concentration in the personnel with protective measures .</w:t>
      </w:r>
      <w:r w:rsidRPr="00FA7042">
        <w:rPr>
          <w:sz w:val="20"/>
          <w:szCs w:val="20"/>
        </w:rPr>
        <w:t>However, complete protection from radiation and radioactive materials is not guaranteed by wearing working</w:t>
      </w:r>
      <w:r>
        <w:rPr>
          <w:sz w:val="20"/>
          <w:szCs w:val="20"/>
        </w:rPr>
        <w:t xml:space="preserve"> </w:t>
      </w:r>
      <w:r w:rsidRPr="00FA7042">
        <w:rPr>
          <w:sz w:val="20"/>
          <w:szCs w:val="20"/>
        </w:rPr>
        <w:t>suit</w:t>
      </w:r>
      <w:r w:rsidRPr="00FA7042">
        <w:rPr>
          <w:rFonts w:asciiTheme="majorBidi" w:hAnsiTheme="majorBidi" w:cstheme="majorBidi"/>
          <w:color w:val="0E101A"/>
          <w:sz w:val="20"/>
          <w:szCs w:val="20"/>
          <w:lang w:bidi="ar-IQ"/>
        </w:rPr>
        <w:t>.</w:t>
      </w:r>
      <w:r w:rsidRPr="00FA7042">
        <w:rPr>
          <w:sz w:val="20"/>
          <w:szCs w:val="20"/>
        </w:rPr>
        <w:t xml:space="preserve"> This is because the staff handled and used the working suits incorrectly.</w:t>
      </w:r>
      <w:r w:rsidRPr="00FA7042">
        <w:rPr>
          <w:rFonts w:asciiTheme="majorBidi" w:hAnsiTheme="majorBidi" w:cstheme="majorBidi"/>
          <w:color w:val="0E101A"/>
          <w:sz w:val="20"/>
          <w:szCs w:val="20"/>
          <w:lang w:bidi="ar-IQ"/>
        </w:rPr>
        <w:t xml:space="preserve"> Numerous factors can decrease personnel protection such as improper</w:t>
      </w:r>
      <w:r>
        <w:rPr>
          <w:rFonts w:asciiTheme="majorBidi" w:hAnsiTheme="majorBidi" w:cstheme="majorBidi"/>
          <w:color w:val="0E101A"/>
          <w:sz w:val="20"/>
          <w:szCs w:val="20"/>
          <w:lang w:bidi="ar-IQ"/>
        </w:rPr>
        <w:t xml:space="preserve"> </w:t>
      </w:r>
      <w:r w:rsidRPr="00FA7042">
        <w:rPr>
          <w:rFonts w:asciiTheme="majorBidi" w:hAnsiTheme="majorBidi" w:cstheme="majorBidi"/>
          <w:color w:val="0E101A"/>
          <w:sz w:val="20"/>
          <w:szCs w:val="20"/>
          <w:lang w:bidi="ar-IQ"/>
        </w:rPr>
        <w:t>storage, use, and quality of working suits. This could be the reason why personnel with protectiv</w:t>
      </w:r>
      <w:r>
        <w:rPr>
          <w:rFonts w:asciiTheme="majorBidi" w:hAnsiTheme="majorBidi" w:cstheme="majorBidi"/>
          <w:color w:val="0E101A"/>
          <w:sz w:val="20"/>
          <w:szCs w:val="20"/>
          <w:lang w:bidi="ar-IQ"/>
        </w:rPr>
        <w:t>e</w:t>
      </w:r>
      <w:r w:rsidRPr="00FA7042">
        <w:rPr>
          <w:rFonts w:asciiTheme="majorBidi" w:hAnsiTheme="majorBidi" w:cstheme="majorBidi"/>
          <w:color w:val="0E101A"/>
          <w:sz w:val="20"/>
          <w:szCs w:val="20"/>
          <w:lang w:bidi="ar-IQ"/>
        </w:rPr>
        <w:t xml:space="preserve"> measures had higher uranium concentrations</w:t>
      </w:r>
      <w:r w:rsidRPr="00FA7042">
        <w:rPr>
          <w:sz w:val="20"/>
          <w:szCs w:val="20"/>
        </w:rPr>
        <w:t xml:space="preserve"> than those who had never worked at the </w:t>
      </w:r>
      <w:proofErr w:type="spellStart"/>
      <w:r w:rsidRPr="00FA7042">
        <w:rPr>
          <w:sz w:val="20"/>
          <w:szCs w:val="20"/>
        </w:rPr>
        <w:t>Tuwaitha</w:t>
      </w:r>
      <w:proofErr w:type="spellEnd"/>
      <w:r w:rsidRPr="00FA7042">
        <w:rPr>
          <w:sz w:val="20"/>
          <w:szCs w:val="20"/>
        </w:rPr>
        <w:t xml:space="preserve"> sit</w:t>
      </w:r>
      <w:r w:rsidRPr="00FA7042">
        <w:rPr>
          <w:rFonts w:asciiTheme="majorBidi" w:hAnsiTheme="majorBidi" w:cstheme="majorBidi"/>
          <w:color w:val="0E101A"/>
          <w:sz w:val="20"/>
          <w:szCs w:val="20"/>
          <w:lang w:bidi="ar-IQ"/>
        </w:rPr>
        <w:t>e.</w:t>
      </w:r>
      <w:r w:rsidR="008028C0">
        <w:rPr>
          <w:rFonts w:asciiTheme="majorBidi" w:hAnsiTheme="majorBidi" w:cstheme="majorBidi"/>
          <w:color w:val="0E101A"/>
          <w:sz w:val="20"/>
          <w:szCs w:val="20"/>
          <w:lang w:bidi="ar-IQ"/>
        </w:rPr>
        <w:t xml:space="preserve"> </w:t>
      </w:r>
    </w:p>
    <w:p w:rsidR="00FC7E2A" w:rsidRDefault="00FC7E2A" w:rsidP="008028C0">
      <w:pPr>
        <w:jc w:val="both"/>
        <w:rPr>
          <w:bCs/>
          <w:sz w:val="12"/>
          <w:szCs w:val="12"/>
        </w:rPr>
      </w:pPr>
    </w:p>
    <w:p w:rsidR="008028C0" w:rsidRPr="008028C0" w:rsidRDefault="008028C0" w:rsidP="008028C0">
      <w:pPr>
        <w:jc w:val="both"/>
        <w:rPr>
          <w:bCs/>
          <w:sz w:val="12"/>
          <w:szCs w:val="12"/>
        </w:rPr>
      </w:pPr>
    </w:p>
    <w:p w:rsidR="006458BE" w:rsidRPr="008028C0" w:rsidRDefault="008028C0" w:rsidP="008028C0">
      <w:pPr>
        <w:tabs>
          <w:tab w:val="left" w:pos="426"/>
        </w:tabs>
        <w:rPr>
          <w:b/>
          <w:bCs/>
          <w:sz w:val="22"/>
          <w:szCs w:val="22"/>
          <w:lang w:val="id-ID"/>
        </w:rPr>
      </w:pPr>
      <w:r w:rsidRPr="008028C0">
        <w:rPr>
          <w:b/>
          <w:bCs/>
          <w:sz w:val="22"/>
          <w:szCs w:val="22"/>
          <w:lang w:val="en-GB"/>
        </w:rPr>
        <w:t xml:space="preserve">4- </w:t>
      </w:r>
      <w:r w:rsidR="006458BE" w:rsidRPr="008028C0">
        <w:rPr>
          <w:b/>
          <w:bCs/>
          <w:sz w:val="22"/>
          <w:szCs w:val="22"/>
          <w:lang w:val="id-ID"/>
        </w:rPr>
        <w:t>CONCLUSION</w:t>
      </w:r>
      <w:r w:rsidRPr="008028C0">
        <w:rPr>
          <w:b/>
          <w:bCs/>
          <w:sz w:val="22"/>
          <w:szCs w:val="22"/>
        </w:rPr>
        <w:t xml:space="preserve"> </w:t>
      </w:r>
    </w:p>
    <w:p w:rsidR="00FC7E2A" w:rsidRPr="008028C0" w:rsidRDefault="00FC7E2A" w:rsidP="00377844">
      <w:pPr>
        <w:rPr>
          <w:sz w:val="12"/>
          <w:szCs w:val="12"/>
        </w:rPr>
      </w:pPr>
    </w:p>
    <w:p w:rsidR="00FC7E2A" w:rsidRPr="00FC7E2A" w:rsidRDefault="00FC7E2A" w:rsidP="008028C0">
      <w:pPr>
        <w:pStyle w:val="Heading1"/>
        <w:spacing w:before="0"/>
        <w:ind w:left="0" w:firstLine="720"/>
        <w:jc w:val="lowKashida"/>
        <w:rPr>
          <w:rFonts w:asciiTheme="majorBidi" w:hAnsiTheme="majorBidi" w:cstheme="majorBidi"/>
          <w:b w:val="0"/>
          <w:bCs w:val="0"/>
          <w:color w:val="000000" w:themeColor="text1"/>
          <w:sz w:val="20"/>
          <w:szCs w:val="20"/>
        </w:rPr>
      </w:pPr>
      <w:r w:rsidRPr="00FA7042">
        <w:rPr>
          <w:rFonts w:asciiTheme="majorBidi" w:hAnsiTheme="majorBidi" w:cstheme="majorBidi"/>
          <w:b w:val="0"/>
          <w:bCs w:val="0"/>
          <w:color w:val="000000" w:themeColor="text1"/>
          <w:sz w:val="20"/>
          <w:szCs w:val="20"/>
        </w:rPr>
        <w:t>The estimated concentrations of uranium in personnel blood are essential for predicting the entries in Iraq's database, which serve to estimate future personnel's health records. Uranium concentration was found higher in the blood samples of personnel at The-</w:t>
      </w:r>
      <w:proofErr w:type="spellStart"/>
      <w:r w:rsidRPr="00FA7042">
        <w:rPr>
          <w:rFonts w:asciiTheme="majorBidi" w:hAnsiTheme="majorBidi" w:cstheme="majorBidi"/>
          <w:b w:val="0"/>
          <w:bCs w:val="0"/>
          <w:color w:val="000000" w:themeColor="text1"/>
          <w:sz w:val="20"/>
          <w:szCs w:val="20"/>
        </w:rPr>
        <w:t>Tuwaitha</w:t>
      </w:r>
      <w:proofErr w:type="spellEnd"/>
      <w:r w:rsidRPr="00FA7042">
        <w:rPr>
          <w:rFonts w:asciiTheme="majorBidi" w:hAnsiTheme="majorBidi" w:cstheme="majorBidi"/>
          <w:b w:val="0"/>
          <w:bCs w:val="0"/>
          <w:color w:val="000000" w:themeColor="text1"/>
          <w:sz w:val="20"/>
          <w:szCs w:val="20"/>
        </w:rPr>
        <w:t xml:space="preserve"> site than in the blood samples of the control group. The increase in uranium levels could be linked to the existence of uranium contamination in the </w:t>
      </w:r>
      <w:proofErr w:type="spellStart"/>
      <w:r w:rsidRPr="00FA7042">
        <w:rPr>
          <w:rFonts w:asciiTheme="majorBidi" w:hAnsiTheme="majorBidi" w:cstheme="majorBidi"/>
          <w:b w:val="0"/>
          <w:bCs w:val="0"/>
          <w:color w:val="000000" w:themeColor="text1"/>
          <w:sz w:val="20"/>
          <w:szCs w:val="20"/>
        </w:rPr>
        <w:t>Tuwaitha</w:t>
      </w:r>
      <w:proofErr w:type="spellEnd"/>
      <w:r w:rsidRPr="00FA7042">
        <w:rPr>
          <w:rFonts w:asciiTheme="majorBidi" w:hAnsiTheme="majorBidi" w:cstheme="majorBidi"/>
          <w:b w:val="0"/>
          <w:bCs w:val="0"/>
          <w:color w:val="000000" w:themeColor="text1"/>
          <w:sz w:val="20"/>
          <w:szCs w:val="20"/>
        </w:rPr>
        <w:t xml:space="preserve"> environment and found that uranium concentration increases with increased duration of employment, while </w:t>
      </w:r>
      <w:r w:rsidR="008028C0" w:rsidRPr="00FA7042">
        <w:rPr>
          <w:rFonts w:asciiTheme="majorBidi" w:hAnsiTheme="majorBidi" w:cstheme="majorBidi"/>
          <w:b w:val="0"/>
          <w:bCs w:val="0"/>
          <w:color w:val="000000" w:themeColor="text1"/>
          <w:sz w:val="20"/>
          <w:szCs w:val="20"/>
        </w:rPr>
        <w:t>there</w:t>
      </w:r>
      <w:r w:rsidRPr="00FA7042">
        <w:rPr>
          <w:rFonts w:asciiTheme="majorBidi" w:hAnsiTheme="majorBidi" w:cstheme="majorBidi"/>
          <w:b w:val="0"/>
          <w:bCs w:val="0"/>
          <w:color w:val="000000" w:themeColor="text1"/>
          <w:sz w:val="20"/>
          <w:szCs w:val="20"/>
        </w:rPr>
        <w:t xml:space="preserve"> is no relationship between age and uranium concentrations in this study. This indicates that other factors play a prominent role in influencing levels of uranium, such as personnel exposure, the type of protective measures utilized, and the efficiency of biological processes in eliminating heavy metal contaminants .The study suggested that personnel should carefully comply with radioactive elements and radiation protective measures such as the personal radiation detection d</w:t>
      </w:r>
      <w:r w:rsidR="008028C0">
        <w:rPr>
          <w:rFonts w:asciiTheme="majorBidi" w:hAnsiTheme="majorBidi" w:cstheme="majorBidi"/>
          <w:b w:val="0"/>
          <w:bCs w:val="0"/>
          <w:color w:val="000000" w:themeColor="text1"/>
          <w:sz w:val="20"/>
          <w:szCs w:val="20"/>
        </w:rPr>
        <w:t xml:space="preserve">evice and wearing a </w:t>
      </w:r>
      <w:proofErr w:type="spellStart"/>
      <w:r w:rsidR="008028C0">
        <w:rPr>
          <w:rFonts w:asciiTheme="majorBidi" w:hAnsiTheme="majorBidi" w:cstheme="majorBidi"/>
          <w:b w:val="0"/>
          <w:bCs w:val="0"/>
          <w:color w:val="000000" w:themeColor="text1"/>
          <w:sz w:val="20"/>
          <w:szCs w:val="20"/>
        </w:rPr>
        <w:t>HazMat</w:t>
      </w:r>
      <w:proofErr w:type="spellEnd"/>
      <w:r w:rsidR="008028C0">
        <w:rPr>
          <w:rFonts w:asciiTheme="majorBidi" w:hAnsiTheme="majorBidi" w:cstheme="majorBidi"/>
          <w:b w:val="0"/>
          <w:bCs w:val="0"/>
          <w:color w:val="000000" w:themeColor="text1"/>
          <w:sz w:val="20"/>
          <w:szCs w:val="20"/>
        </w:rPr>
        <w:t xml:space="preserve"> suit,</w:t>
      </w:r>
      <w:r w:rsidRPr="00FA7042">
        <w:rPr>
          <w:rFonts w:asciiTheme="majorBidi" w:hAnsiTheme="majorBidi" w:cstheme="majorBidi"/>
          <w:b w:val="0"/>
          <w:bCs w:val="0"/>
          <w:color w:val="000000" w:themeColor="text1"/>
          <w:sz w:val="20"/>
          <w:szCs w:val="20"/>
        </w:rPr>
        <w:t xml:space="preserve"> Also, taking oral antioxidants to protect from radiation</w:t>
      </w:r>
      <w:r w:rsidR="008028C0">
        <w:rPr>
          <w:rFonts w:asciiTheme="majorBidi" w:hAnsiTheme="majorBidi" w:cstheme="majorBidi"/>
          <w:b w:val="0"/>
          <w:bCs w:val="0"/>
          <w:color w:val="000000" w:themeColor="text1"/>
          <w:sz w:val="20"/>
          <w:szCs w:val="20"/>
        </w:rPr>
        <w:t xml:space="preserve">. </w:t>
      </w:r>
    </w:p>
    <w:p w:rsidR="00FC7E2A" w:rsidRDefault="00FC7E2A" w:rsidP="00377844">
      <w:pPr>
        <w:rPr>
          <w:sz w:val="12"/>
          <w:szCs w:val="12"/>
        </w:rPr>
      </w:pPr>
    </w:p>
    <w:p w:rsidR="008028C0" w:rsidRPr="008028C0" w:rsidRDefault="008028C0" w:rsidP="00377844">
      <w:pPr>
        <w:rPr>
          <w:sz w:val="12"/>
          <w:szCs w:val="12"/>
        </w:rPr>
      </w:pPr>
    </w:p>
    <w:p w:rsidR="006458BE" w:rsidRPr="008028C0" w:rsidRDefault="006458BE" w:rsidP="00377844">
      <w:pPr>
        <w:jc w:val="both"/>
        <w:rPr>
          <w:rStyle w:val="apple-style-span"/>
          <w:b/>
          <w:color w:val="000000"/>
          <w:sz w:val="22"/>
          <w:szCs w:val="22"/>
          <w:lang w:val="pt-BR"/>
        </w:rPr>
      </w:pPr>
      <w:bookmarkStart w:id="3" w:name="_Hlk78354977"/>
      <w:r w:rsidRPr="008028C0">
        <w:rPr>
          <w:rStyle w:val="apple-style-span"/>
          <w:b/>
          <w:color w:val="000000"/>
          <w:sz w:val="22"/>
          <w:szCs w:val="22"/>
          <w:lang w:val="pt-BR"/>
        </w:rPr>
        <w:t>REFERENCES</w:t>
      </w:r>
    </w:p>
    <w:p w:rsidR="006458BE" w:rsidRPr="008028C0" w:rsidRDefault="006458BE" w:rsidP="00377844">
      <w:pPr>
        <w:jc w:val="both"/>
        <w:rPr>
          <w:rStyle w:val="apple-style-span"/>
          <w:b/>
          <w:color w:val="000000"/>
          <w:sz w:val="12"/>
          <w:szCs w:val="12"/>
          <w:lang w:val="pt-BR"/>
        </w:rPr>
      </w:pPr>
    </w:p>
    <w:p w:rsidR="000C02C3" w:rsidRDefault="00736C0C" w:rsidP="00C44F53">
      <w:pPr>
        <w:numPr>
          <w:ilvl w:val="0"/>
          <w:numId w:val="2"/>
        </w:numPr>
        <w:autoSpaceDE w:val="0"/>
        <w:autoSpaceDN w:val="0"/>
        <w:adjustRightInd w:val="0"/>
        <w:spacing w:after="160"/>
        <w:ind w:left="284" w:hanging="284"/>
        <w:jc w:val="both"/>
        <w:rPr>
          <w:rFonts w:eastAsia="CIDFont+F1"/>
          <w:color w:val="000000"/>
        </w:rPr>
      </w:pPr>
      <w:proofErr w:type="spellStart"/>
      <w:r w:rsidRPr="00736C0C">
        <w:rPr>
          <w:rFonts w:asciiTheme="majorBidi" w:hAnsiTheme="majorBidi" w:cstheme="majorBidi"/>
          <w:color w:val="05103E"/>
        </w:rPr>
        <w:t>Elaboudi</w:t>
      </w:r>
      <w:proofErr w:type="spellEnd"/>
      <w:r w:rsidRPr="00736C0C">
        <w:rPr>
          <w:rFonts w:asciiTheme="majorBidi" w:hAnsiTheme="majorBidi" w:cstheme="majorBidi"/>
          <w:color w:val="05103E"/>
        </w:rPr>
        <w:t xml:space="preserve">, Z., </w:t>
      </w:r>
      <w:proofErr w:type="spellStart"/>
      <w:r w:rsidRPr="00736C0C">
        <w:rPr>
          <w:rFonts w:asciiTheme="majorBidi" w:hAnsiTheme="majorBidi" w:cstheme="majorBidi"/>
          <w:color w:val="05103E"/>
        </w:rPr>
        <w:t>Madinzi</w:t>
      </w:r>
      <w:proofErr w:type="spellEnd"/>
      <w:r w:rsidRPr="00736C0C">
        <w:rPr>
          <w:rFonts w:asciiTheme="majorBidi" w:hAnsiTheme="majorBidi" w:cstheme="majorBidi"/>
          <w:color w:val="05103E"/>
        </w:rPr>
        <w:t xml:space="preserve">, A., </w:t>
      </w:r>
      <w:proofErr w:type="spellStart"/>
      <w:r w:rsidRPr="00736C0C">
        <w:rPr>
          <w:rFonts w:asciiTheme="majorBidi" w:hAnsiTheme="majorBidi" w:cstheme="majorBidi"/>
          <w:color w:val="05103E"/>
        </w:rPr>
        <w:t>Saadi</w:t>
      </w:r>
      <w:proofErr w:type="spellEnd"/>
      <w:r w:rsidRPr="00736C0C">
        <w:rPr>
          <w:rFonts w:asciiTheme="majorBidi" w:hAnsiTheme="majorBidi" w:cstheme="majorBidi"/>
          <w:color w:val="05103E"/>
        </w:rPr>
        <w:t xml:space="preserve">, R., </w:t>
      </w:r>
      <w:proofErr w:type="spellStart"/>
      <w:r w:rsidRPr="00736C0C">
        <w:rPr>
          <w:rFonts w:asciiTheme="majorBidi" w:hAnsiTheme="majorBidi" w:cstheme="majorBidi"/>
          <w:color w:val="05103E"/>
        </w:rPr>
        <w:t>Laissaoui</w:t>
      </w:r>
      <w:proofErr w:type="spellEnd"/>
      <w:r w:rsidRPr="00736C0C">
        <w:rPr>
          <w:rFonts w:asciiTheme="majorBidi" w:hAnsiTheme="majorBidi" w:cstheme="majorBidi"/>
          <w:color w:val="05103E"/>
        </w:rPr>
        <w:t xml:space="preserve">, A., </w:t>
      </w:r>
      <w:proofErr w:type="spellStart"/>
      <w:r w:rsidRPr="00736C0C">
        <w:rPr>
          <w:rFonts w:asciiTheme="majorBidi" w:hAnsiTheme="majorBidi" w:cstheme="majorBidi"/>
          <w:color w:val="05103E"/>
        </w:rPr>
        <w:t>Kurniawan</w:t>
      </w:r>
      <w:proofErr w:type="spellEnd"/>
      <w:r w:rsidRPr="00736C0C">
        <w:rPr>
          <w:rFonts w:asciiTheme="majorBidi" w:hAnsiTheme="majorBidi" w:cstheme="majorBidi"/>
          <w:color w:val="05103E"/>
        </w:rPr>
        <w:t xml:space="preserve">, T. A., </w:t>
      </w:r>
      <w:proofErr w:type="spellStart"/>
      <w:r w:rsidRPr="00736C0C">
        <w:rPr>
          <w:rFonts w:asciiTheme="majorBidi" w:hAnsiTheme="majorBidi" w:cstheme="majorBidi"/>
          <w:color w:val="05103E"/>
        </w:rPr>
        <w:t>Anouzla</w:t>
      </w:r>
      <w:proofErr w:type="spellEnd"/>
      <w:r w:rsidRPr="00736C0C">
        <w:rPr>
          <w:rFonts w:asciiTheme="majorBidi" w:hAnsiTheme="majorBidi" w:cstheme="majorBidi"/>
          <w:color w:val="05103E"/>
        </w:rPr>
        <w:t xml:space="preserve">, A., &amp; </w:t>
      </w:r>
      <w:proofErr w:type="spellStart"/>
      <w:r w:rsidRPr="00736C0C">
        <w:rPr>
          <w:rFonts w:asciiTheme="majorBidi" w:hAnsiTheme="majorBidi" w:cstheme="majorBidi"/>
          <w:color w:val="05103E"/>
        </w:rPr>
        <w:t>Souabi</w:t>
      </w:r>
      <w:proofErr w:type="spellEnd"/>
      <w:r w:rsidRPr="00736C0C">
        <w:rPr>
          <w:rFonts w:asciiTheme="majorBidi" w:hAnsiTheme="majorBidi" w:cstheme="majorBidi"/>
          <w:color w:val="05103E"/>
        </w:rPr>
        <w:t>, S. (2024). A review of radionuclides impacts and remediation techniques. </w:t>
      </w:r>
      <w:r w:rsidRPr="00736C0C">
        <w:rPr>
          <w:rFonts w:asciiTheme="majorBidi" w:hAnsiTheme="majorBidi" w:cstheme="majorBidi"/>
          <w:i/>
          <w:iCs/>
          <w:color w:val="05103E"/>
          <w:bdr w:val="single" w:sz="2" w:space="0" w:color="ECEDEE" w:frame="1"/>
        </w:rPr>
        <w:t>Euro-Mediterranean Journal for Environmental Integration</w:t>
      </w:r>
      <w:r w:rsidRPr="00736C0C">
        <w:rPr>
          <w:rFonts w:asciiTheme="majorBidi" w:hAnsiTheme="majorBidi" w:cstheme="majorBidi"/>
          <w:color w:val="05103E"/>
        </w:rPr>
        <w:t>.  </w:t>
      </w:r>
      <w:hyperlink r:id="rId17" w:history="1">
        <w:r w:rsidRPr="00736C0C">
          <w:rPr>
            <w:rStyle w:val="Hyperlink"/>
            <w:rFonts w:asciiTheme="majorBidi" w:hAnsiTheme="majorBidi" w:cstheme="majorBidi"/>
            <w:bdr w:val="single" w:sz="2" w:space="0" w:color="ECEDEE" w:frame="1"/>
          </w:rPr>
          <w:t>https://doi.org/10.1007/s41207-024-00613-0</w:t>
        </w:r>
      </w:hyperlink>
      <w:bookmarkEnd w:id="3"/>
      <w:r w:rsidR="000C02C3">
        <w:rPr>
          <w:rFonts w:eastAsia="CIDFont+F1"/>
          <w:color w:val="000000"/>
        </w:rPr>
        <w:t xml:space="preserve"> </w:t>
      </w:r>
    </w:p>
    <w:p w:rsidR="000C02C3" w:rsidRDefault="00736C0C" w:rsidP="00C44F53">
      <w:pPr>
        <w:numPr>
          <w:ilvl w:val="0"/>
          <w:numId w:val="2"/>
        </w:numPr>
        <w:autoSpaceDE w:val="0"/>
        <w:autoSpaceDN w:val="0"/>
        <w:adjustRightInd w:val="0"/>
        <w:spacing w:after="160"/>
        <w:ind w:left="284" w:hanging="284"/>
        <w:jc w:val="both"/>
        <w:rPr>
          <w:rFonts w:eastAsia="CIDFont+F1"/>
          <w:color w:val="000000"/>
        </w:rPr>
      </w:pPr>
      <w:proofErr w:type="spellStart"/>
      <w:r w:rsidRPr="00736C0C">
        <w:t>Hanfi</w:t>
      </w:r>
      <w:proofErr w:type="spellEnd"/>
      <w:r w:rsidRPr="00736C0C">
        <w:t xml:space="preserve">, M. Y., </w:t>
      </w:r>
      <w:proofErr w:type="spellStart"/>
      <w:r w:rsidRPr="00736C0C">
        <w:t>Masoud</w:t>
      </w:r>
      <w:proofErr w:type="spellEnd"/>
      <w:r w:rsidRPr="00736C0C">
        <w:t xml:space="preserve">, M. S., </w:t>
      </w:r>
      <w:proofErr w:type="spellStart"/>
      <w:r w:rsidRPr="00736C0C">
        <w:t>Ambrosino</w:t>
      </w:r>
      <w:proofErr w:type="spellEnd"/>
      <w:r w:rsidRPr="00736C0C">
        <w:t xml:space="preserve">, F., &amp; Mostafa, M. Y. (2021). Natural radiological characterization at the </w:t>
      </w:r>
      <w:proofErr w:type="spellStart"/>
      <w:r w:rsidRPr="00736C0C">
        <w:t>Gabal</w:t>
      </w:r>
      <w:proofErr w:type="spellEnd"/>
      <w:r w:rsidRPr="00736C0C">
        <w:t xml:space="preserve"> El </w:t>
      </w:r>
      <w:proofErr w:type="spellStart"/>
      <w:r w:rsidRPr="00736C0C">
        <w:t>Seila</w:t>
      </w:r>
      <w:proofErr w:type="spellEnd"/>
      <w:r w:rsidRPr="00736C0C">
        <w:t xml:space="preserve"> region (Egypt). </w:t>
      </w:r>
      <w:r w:rsidRPr="000C02C3">
        <w:rPr>
          <w:i/>
          <w:iCs/>
          <w:bdr w:val="single" w:sz="2" w:space="0" w:color="ECEDEE" w:frame="1"/>
        </w:rPr>
        <w:t>Applied Radiation and Isotopes</w:t>
      </w:r>
      <w:r w:rsidRPr="00736C0C">
        <w:t>, </w:t>
      </w:r>
      <w:r w:rsidRPr="000C02C3">
        <w:rPr>
          <w:i/>
          <w:iCs/>
          <w:bdr w:val="single" w:sz="2" w:space="0" w:color="ECEDEE" w:frame="1"/>
        </w:rPr>
        <w:t>173</w:t>
      </w:r>
      <w:r w:rsidRPr="00736C0C">
        <w:t>, 109705. </w:t>
      </w:r>
      <w:hyperlink r:id="rId18" w:history="1">
        <w:r w:rsidRPr="00736C0C">
          <w:rPr>
            <w:rStyle w:val="Hyperlink"/>
          </w:rPr>
          <w:t>https://doi.org/10.1016/j.apradiso.2021.109705</w:t>
        </w:r>
      </w:hyperlink>
      <w:r w:rsidR="000C02C3">
        <w:rPr>
          <w:rFonts w:eastAsia="CIDFont+F1"/>
          <w:color w:val="000000"/>
        </w:rPr>
        <w:t xml:space="preserve"> </w:t>
      </w:r>
    </w:p>
    <w:p w:rsidR="000C02C3" w:rsidRDefault="00736C0C" w:rsidP="00C44F53">
      <w:pPr>
        <w:numPr>
          <w:ilvl w:val="0"/>
          <w:numId w:val="2"/>
        </w:numPr>
        <w:autoSpaceDE w:val="0"/>
        <w:autoSpaceDN w:val="0"/>
        <w:adjustRightInd w:val="0"/>
        <w:spacing w:after="160"/>
        <w:ind w:left="284" w:hanging="284"/>
        <w:jc w:val="both"/>
        <w:rPr>
          <w:rFonts w:eastAsia="CIDFont+F1"/>
          <w:color w:val="000000"/>
        </w:rPr>
      </w:pPr>
      <w:r w:rsidRPr="000C02C3">
        <w:rPr>
          <w:rFonts w:asciiTheme="majorBidi" w:hAnsiTheme="majorBidi" w:cstheme="majorBidi"/>
          <w:color w:val="05103E"/>
        </w:rPr>
        <w:t xml:space="preserve">Mostafa, M. Y. A., </w:t>
      </w:r>
      <w:proofErr w:type="spellStart"/>
      <w:r w:rsidRPr="000C02C3">
        <w:rPr>
          <w:rFonts w:asciiTheme="majorBidi" w:hAnsiTheme="majorBidi" w:cstheme="majorBidi"/>
          <w:color w:val="05103E"/>
        </w:rPr>
        <w:t>Kadhim</w:t>
      </w:r>
      <w:proofErr w:type="spellEnd"/>
      <w:r w:rsidRPr="000C02C3">
        <w:rPr>
          <w:rFonts w:asciiTheme="majorBidi" w:hAnsiTheme="majorBidi" w:cstheme="majorBidi"/>
          <w:color w:val="05103E"/>
        </w:rPr>
        <w:t xml:space="preserve">, N. F., </w:t>
      </w:r>
      <w:proofErr w:type="spellStart"/>
      <w:r w:rsidRPr="000C02C3">
        <w:rPr>
          <w:rFonts w:asciiTheme="majorBidi" w:hAnsiTheme="majorBidi" w:cstheme="majorBidi"/>
          <w:color w:val="05103E"/>
        </w:rPr>
        <w:t>Ammer</w:t>
      </w:r>
      <w:proofErr w:type="spellEnd"/>
      <w:r w:rsidRPr="000C02C3">
        <w:rPr>
          <w:rFonts w:asciiTheme="majorBidi" w:hAnsiTheme="majorBidi" w:cstheme="majorBidi"/>
          <w:color w:val="05103E"/>
        </w:rPr>
        <w:t xml:space="preserve">, H., &amp; </w:t>
      </w:r>
      <w:proofErr w:type="spellStart"/>
      <w:r w:rsidRPr="000C02C3">
        <w:rPr>
          <w:rFonts w:asciiTheme="majorBidi" w:hAnsiTheme="majorBidi" w:cstheme="majorBidi"/>
          <w:color w:val="05103E"/>
        </w:rPr>
        <w:t>Baqir</w:t>
      </w:r>
      <w:proofErr w:type="spellEnd"/>
      <w:r w:rsidRPr="000C02C3">
        <w:rPr>
          <w:rFonts w:asciiTheme="majorBidi" w:hAnsiTheme="majorBidi" w:cstheme="majorBidi"/>
          <w:color w:val="05103E"/>
        </w:rPr>
        <w:t>, Y. (2021). The plant transfer factor of natural radionuclides and the soil radiation hazard of some crops. </w:t>
      </w:r>
      <w:r w:rsidRPr="000C02C3">
        <w:rPr>
          <w:rFonts w:asciiTheme="majorBidi" w:hAnsiTheme="majorBidi" w:cstheme="majorBidi"/>
          <w:i/>
          <w:iCs/>
          <w:color w:val="05103E"/>
          <w:bdr w:val="single" w:sz="2" w:space="0" w:color="ECEDEE" w:frame="1"/>
        </w:rPr>
        <w:t>Environmental Monitoring and Assessment</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193</w:t>
      </w:r>
      <w:r w:rsidRPr="000C02C3">
        <w:rPr>
          <w:rFonts w:asciiTheme="majorBidi" w:hAnsiTheme="majorBidi" w:cstheme="majorBidi"/>
          <w:color w:val="05103E"/>
        </w:rPr>
        <w:t>(6). </w:t>
      </w:r>
      <w:hyperlink r:id="rId19" w:history="1">
        <w:r w:rsidRPr="000C02C3">
          <w:rPr>
            <w:rStyle w:val="Hyperlink"/>
            <w:rFonts w:asciiTheme="majorBidi" w:hAnsiTheme="majorBidi" w:cstheme="majorBidi"/>
            <w:bdr w:val="single" w:sz="2" w:space="0" w:color="ECEDEE" w:frame="1"/>
          </w:rPr>
          <w:t>https://doi.org/10.1007/s10661-021-09061-7</w:t>
        </w:r>
      </w:hyperlink>
      <w:r w:rsidR="000C02C3">
        <w:rPr>
          <w:rFonts w:eastAsia="CIDFont+F1"/>
          <w:color w:val="000000"/>
        </w:rPr>
        <w:t xml:space="preserve"> </w:t>
      </w:r>
    </w:p>
    <w:p w:rsidR="000C02C3" w:rsidRDefault="00736C0C" w:rsidP="00C44F53">
      <w:pPr>
        <w:numPr>
          <w:ilvl w:val="0"/>
          <w:numId w:val="2"/>
        </w:numPr>
        <w:autoSpaceDE w:val="0"/>
        <w:autoSpaceDN w:val="0"/>
        <w:adjustRightInd w:val="0"/>
        <w:spacing w:after="160"/>
        <w:ind w:left="284" w:hanging="284"/>
        <w:jc w:val="both"/>
        <w:rPr>
          <w:rFonts w:eastAsia="CIDFont+F1"/>
          <w:color w:val="000000"/>
        </w:rPr>
      </w:pPr>
      <w:r w:rsidRPr="000C02C3">
        <w:rPr>
          <w:color w:val="05103E"/>
        </w:rPr>
        <w:t xml:space="preserve">Wang, H., Li, L., Fan, X., Zhang, Y., Lu, Q., Ma, N., Yu, B., Li, X., &amp; </w:t>
      </w:r>
      <w:proofErr w:type="gramStart"/>
      <w:r w:rsidRPr="000C02C3">
        <w:rPr>
          <w:color w:val="05103E"/>
        </w:rPr>
        <w:t>Gao</w:t>
      </w:r>
      <w:proofErr w:type="gramEnd"/>
      <w:r w:rsidRPr="000C02C3">
        <w:rPr>
          <w:color w:val="05103E"/>
        </w:rPr>
        <w:t>, J. (2024). Health implications of depleted uranium: an update. </w:t>
      </w:r>
      <w:r w:rsidRPr="000C02C3">
        <w:rPr>
          <w:i/>
          <w:iCs/>
          <w:color w:val="05103E"/>
          <w:bdr w:val="single" w:sz="2" w:space="0" w:color="ECEDEE" w:frame="1"/>
        </w:rPr>
        <w:t>Journal of Applied Toxicology</w:t>
      </w:r>
      <w:r w:rsidRPr="000C02C3">
        <w:rPr>
          <w:color w:val="05103E"/>
        </w:rPr>
        <w:t>.  </w:t>
      </w:r>
      <w:hyperlink r:id="rId20" w:history="1">
        <w:r w:rsidRPr="000C02C3">
          <w:rPr>
            <w:rStyle w:val="Hyperlink"/>
            <w:bdr w:val="single" w:sz="2" w:space="0" w:color="ECEDEE" w:frame="1"/>
          </w:rPr>
          <w:t>https://doi.org/10.1002/jat.4720</w:t>
        </w:r>
      </w:hyperlink>
      <w:r w:rsidR="000C02C3">
        <w:rPr>
          <w:rFonts w:eastAsia="CIDFont+F1"/>
          <w:color w:val="000000"/>
        </w:rPr>
        <w:t xml:space="preserve"> </w:t>
      </w:r>
    </w:p>
    <w:p w:rsidR="000C02C3" w:rsidRDefault="00736C0C" w:rsidP="00C44F53">
      <w:pPr>
        <w:numPr>
          <w:ilvl w:val="0"/>
          <w:numId w:val="2"/>
        </w:numPr>
        <w:autoSpaceDE w:val="0"/>
        <w:autoSpaceDN w:val="0"/>
        <w:adjustRightInd w:val="0"/>
        <w:spacing w:after="160"/>
        <w:ind w:left="284" w:hanging="284"/>
        <w:jc w:val="both"/>
        <w:rPr>
          <w:rFonts w:eastAsia="CIDFont+F1"/>
          <w:color w:val="000000"/>
        </w:rPr>
      </w:pPr>
      <w:proofErr w:type="spellStart"/>
      <w:r w:rsidRPr="00736C0C">
        <w:lastRenderedPageBreak/>
        <w:t>Schilz</w:t>
      </w:r>
      <w:proofErr w:type="spellEnd"/>
      <w:r w:rsidRPr="00736C0C">
        <w:t xml:space="preserve">, J. R., </w:t>
      </w:r>
      <w:proofErr w:type="spellStart"/>
      <w:r w:rsidRPr="00736C0C">
        <w:t>Dashner</w:t>
      </w:r>
      <w:proofErr w:type="spellEnd"/>
      <w:r w:rsidRPr="00736C0C">
        <w:t xml:space="preserve">-Titus, E. J., Simmons, K. A., </w:t>
      </w:r>
      <w:proofErr w:type="spellStart"/>
      <w:r w:rsidRPr="00736C0C">
        <w:t>Erdei</w:t>
      </w:r>
      <w:proofErr w:type="spellEnd"/>
      <w:r w:rsidRPr="00736C0C">
        <w:t xml:space="preserve">, E., Bolt, A. M., </w:t>
      </w:r>
      <w:proofErr w:type="spellStart"/>
      <w:r w:rsidRPr="00736C0C">
        <w:t>MacKenzie</w:t>
      </w:r>
      <w:proofErr w:type="spellEnd"/>
      <w:r w:rsidRPr="00736C0C">
        <w:t xml:space="preserve">, D. A., &amp; Hudson, L. G. (2022). The </w:t>
      </w:r>
      <w:proofErr w:type="spellStart"/>
      <w:r w:rsidRPr="00736C0C">
        <w:t>immunotoxicity</w:t>
      </w:r>
      <w:proofErr w:type="spellEnd"/>
      <w:r w:rsidRPr="00736C0C">
        <w:t xml:space="preserve"> of natural and depleted uranium: From cells to people. </w:t>
      </w:r>
      <w:r w:rsidRPr="000C02C3">
        <w:rPr>
          <w:i/>
          <w:iCs/>
          <w:bdr w:val="single" w:sz="2" w:space="0" w:color="ECEDEE" w:frame="1"/>
        </w:rPr>
        <w:t>Toxicology and Applied Pharmacology</w:t>
      </w:r>
      <w:r w:rsidRPr="00736C0C">
        <w:t>, </w:t>
      </w:r>
      <w:r w:rsidRPr="000C02C3">
        <w:rPr>
          <w:i/>
          <w:iCs/>
          <w:bdr w:val="single" w:sz="2" w:space="0" w:color="ECEDEE" w:frame="1"/>
        </w:rPr>
        <w:t>454</w:t>
      </w:r>
      <w:r w:rsidRPr="00736C0C">
        <w:t>, 116252. </w:t>
      </w:r>
      <w:hyperlink r:id="rId21" w:history="1">
        <w:r w:rsidRPr="00736C0C">
          <w:rPr>
            <w:rStyle w:val="Hyperlink"/>
          </w:rPr>
          <w:t>https://doi.org/10.1016/j.taap.2022.116252</w:t>
        </w:r>
      </w:hyperlink>
      <w:r w:rsidR="000C02C3">
        <w:rPr>
          <w:rFonts w:eastAsia="CIDFont+F1"/>
          <w:color w:val="000000"/>
        </w:rPr>
        <w:t xml:space="preserve"> </w:t>
      </w:r>
    </w:p>
    <w:p w:rsidR="000C02C3" w:rsidRDefault="00736C0C" w:rsidP="00C44F53">
      <w:pPr>
        <w:numPr>
          <w:ilvl w:val="0"/>
          <w:numId w:val="2"/>
        </w:numPr>
        <w:autoSpaceDE w:val="0"/>
        <w:autoSpaceDN w:val="0"/>
        <w:adjustRightInd w:val="0"/>
        <w:spacing w:after="160"/>
        <w:ind w:left="284" w:hanging="284"/>
        <w:jc w:val="both"/>
        <w:rPr>
          <w:rFonts w:eastAsia="CIDFont+F1"/>
          <w:color w:val="000000"/>
        </w:rPr>
      </w:pPr>
      <w:proofErr w:type="spellStart"/>
      <w:r w:rsidRPr="000C02C3">
        <w:rPr>
          <w:rFonts w:asciiTheme="majorBidi" w:hAnsiTheme="majorBidi" w:cstheme="majorBidi"/>
          <w:color w:val="05103E"/>
        </w:rPr>
        <w:t>Abolli</w:t>
      </w:r>
      <w:proofErr w:type="spellEnd"/>
      <w:r w:rsidRPr="000C02C3">
        <w:rPr>
          <w:rFonts w:asciiTheme="majorBidi" w:hAnsiTheme="majorBidi" w:cstheme="majorBidi"/>
          <w:color w:val="05103E"/>
        </w:rPr>
        <w:t xml:space="preserve">, S., </w:t>
      </w:r>
      <w:proofErr w:type="spellStart"/>
      <w:r w:rsidRPr="000C02C3">
        <w:rPr>
          <w:rFonts w:asciiTheme="majorBidi" w:hAnsiTheme="majorBidi" w:cstheme="majorBidi"/>
          <w:color w:val="05103E"/>
        </w:rPr>
        <w:t>Yazdi</w:t>
      </w:r>
      <w:proofErr w:type="spellEnd"/>
      <w:r w:rsidRPr="000C02C3">
        <w:rPr>
          <w:rFonts w:asciiTheme="majorBidi" w:hAnsiTheme="majorBidi" w:cstheme="majorBidi"/>
          <w:color w:val="05103E"/>
        </w:rPr>
        <w:t xml:space="preserve">, N. B., </w:t>
      </w:r>
      <w:proofErr w:type="spellStart"/>
      <w:r w:rsidRPr="000C02C3">
        <w:rPr>
          <w:rFonts w:asciiTheme="majorBidi" w:hAnsiTheme="majorBidi" w:cstheme="majorBidi"/>
          <w:color w:val="05103E"/>
        </w:rPr>
        <w:t>Khanizadeh</w:t>
      </w:r>
      <w:proofErr w:type="spellEnd"/>
      <w:r w:rsidRPr="000C02C3">
        <w:rPr>
          <w:rFonts w:asciiTheme="majorBidi" w:hAnsiTheme="majorBidi" w:cstheme="majorBidi"/>
          <w:color w:val="05103E"/>
        </w:rPr>
        <w:t xml:space="preserve">, M., </w:t>
      </w:r>
      <w:proofErr w:type="spellStart"/>
      <w:r w:rsidRPr="000C02C3">
        <w:rPr>
          <w:rFonts w:asciiTheme="majorBidi" w:hAnsiTheme="majorBidi" w:cstheme="majorBidi"/>
          <w:color w:val="05103E"/>
        </w:rPr>
        <w:t>Salemi</w:t>
      </w:r>
      <w:proofErr w:type="spellEnd"/>
      <w:r w:rsidRPr="000C02C3">
        <w:rPr>
          <w:rFonts w:asciiTheme="majorBidi" w:hAnsiTheme="majorBidi" w:cstheme="majorBidi"/>
          <w:color w:val="05103E"/>
        </w:rPr>
        <w:t xml:space="preserve">, K., </w:t>
      </w:r>
      <w:proofErr w:type="spellStart"/>
      <w:r w:rsidRPr="000C02C3">
        <w:rPr>
          <w:rFonts w:asciiTheme="majorBidi" w:hAnsiTheme="majorBidi" w:cstheme="majorBidi"/>
          <w:color w:val="05103E"/>
        </w:rPr>
        <w:t>Bidoki</w:t>
      </w:r>
      <w:proofErr w:type="spellEnd"/>
      <w:r w:rsidRPr="000C02C3">
        <w:rPr>
          <w:rFonts w:asciiTheme="majorBidi" w:hAnsiTheme="majorBidi" w:cstheme="majorBidi"/>
          <w:color w:val="05103E"/>
        </w:rPr>
        <w:t xml:space="preserve">, M. Z., &amp; </w:t>
      </w:r>
      <w:proofErr w:type="spellStart"/>
      <w:r w:rsidRPr="000C02C3">
        <w:rPr>
          <w:rFonts w:asciiTheme="majorBidi" w:hAnsiTheme="majorBidi" w:cstheme="majorBidi"/>
          <w:color w:val="05103E"/>
        </w:rPr>
        <w:t>Mehrizi</w:t>
      </w:r>
      <w:proofErr w:type="spellEnd"/>
      <w:r w:rsidRPr="000C02C3">
        <w:rPr>
          <w:rFonts w:asciiTheme="majorBidi" w:hAnsiTheme="majorBidi" w:cstheme="majorBidi"/>
          <w:color w:val="05103E"/>
        </w:rPr>
        <w:t>, E. A. (2024). Understanding uranium distribution: A systematic review and meta-analysis in the context of drinking water resources. </w:t>
      </w:r>
      <w:r w:rsidRPr="000C02C3">
        <w:rPr>
          <w:rFonts w:asciiTheme="majorBidi" w:hAnsiTheme="majorBidi" w:cstheme="majorBidi"/>
          <w:i/>
          <w:iCs/>
          <w:color w:val="05103E"/>
          <w:bdr w:val="single" w:sz="2" w:space="0" w:color="ECEDEE" w:frame="1"/>
        </w:rPr>
        <w:t>Results in Engineering</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22</w:t>
      </w:r>
      <w:r w:rsidRPr="000C02C3">
        <w:rPr>
          <w:rFonts w:asciiTheme="majorBidi" w:hAnsiTheme="majorBidi" w:cstheme="majorBidi"/>
          <w:color w:val="05103E"/>
        </w:rPr>
        <w:t>, 102152. </w:t>
      </w:r>
      <w:hyperlink r:id="rId22" w:history="1">
        <w:r w:rsidRPr="000C02C3">
          <w:rPr>
            <w:rStyle w:val="Hyperlink"/>
            <w:rFonts w:asciiTheme="majorBidi" w:hAnsiTheme="majorBidi" w:cstheme="majorBidi"/>
            <w:bdr w:val="single" w:sz="2" w:space="0" w:color="ECEDEE" w:frame="1"/>
          </w:rPr>
          <w:t>https://doi.org/10.1016/j.rineng.2024.102152</w:t>
        </w:r>
      </w:hyperlink>
      <w:r w:rsidR="000C02C3">
        <w:rPr>
          <w:rFonts w:eastAsia="CIDFont+F1"/>
          <w:color w:val="000000"/>
        </w:rPr>
        <w:t xml:space="preserve"> </w:t>
      </w:r>
    </w:p>
    <w:p w:rsidR="000C02C3" w:rsidRDefault="00736C0C" w:rsidP="00C44F53">
      <w:pPr>
        <w:numPr>
          <w:ilvl w:val="0"/>
          <w:numId w:val="2"/>
        </w:numPr>
        <w:autoSpaceDE w:val="0"/>
        <w:autoSpaceDN w:val="0"/>
        <w:adjustRightInd w:val="0"/>
        <w:spacing w:after="160"/>
        <w:ind w:left="284" w:hanging="284"/>
        <w:jc w:val="both"/>
        <w:rPr>
          <w:rFonts w:eastAsia="CIDFont+F1"/>
          <w:color w:val="000000"/>
        </w:rPr>
      </w:pPr>
      <w:proofErr w:type="spellStart"/>
      <w:r w:rsidRPr="000C02C3">
        <w:rPr>
          <w:rFonts w:asciiTheme="majorBidi" w:hAnsiTheme="majorBidi" w:cstheme="majorBidi"/>
        </w:rPr>
        <w:t>Kheder</w:t>
      </w:r>
      <w:proofErr w:type="spellEnd"/>
      <w:r w:rsidRPr="000C02C3">
        <w:rPr>
          <w:rFonts w:asciiTheme="majorBidi" w:hAnsiTheme="majorBidi" w:cstheme="majorBidi"/>
        </w:rPr>
        <w:t xml:space="preserve">, M. H., </w:t>
      </w:r>
      <w:proofErr w:type="spellStart"/>
      <w:r w:rsidRPr="000C02C3">
        <w:rPr>
          <w:rFonts w:asciiTheme="majorBidi" w:hAnsiTheme="majorBidi" w:cstheme="majorBidi"/>
        </w:rPr>
        <w:t>Azeez</w:t>
      </w:r>
      <w:proofErr w:type="spellEnd"/>
      <w:r w:rsidRPr="000C02C3">
        <w:rPr>
          <w:rFonts w:asciiTheme="majorBidi" w:hAnsiTheme="majorBidi" w:cstheme="majorBidi"/>
        </w:rPr>
        <w:t xml:space="preserve">, H. N., </w:t>
      </w:r>
      <w:proofErr w:type="spellStart"/>
      <w:r w:rsidRPr="000C02C3">
        <w:rPr>
          <w:rFonts w:asciiTheme="majorBidi" w:hAnsiTheme="majorBidi" w:cstheme="majorBidi"/>
        </w:rPr>
        <w:t>Slewa</w:t>
      </w:r>
      <w:proofErr w:type="spellEnd"/>
      <w:r w:rsidRPr="000C02C3">
        <w:rPr>
          <w:rFonts w:asciiTheme="majorBidi" w:hAnsiTheme="majorBidi" w:cstheme="majorBidi"/>
        </w:rPr>
        <w:t xml:space="preserve">, M. Y., &amp; </w:t>
      </w:r>
      <w:proofErr w:type="spellStart"/>
      <w:r w:rsidRPr="000C02C3">
        <w:rPr>
          <w:rFonts w:asciiTheme="majorBidi" w:hAnsiTheme="majorBidi" w:cstheme="majorBidi"/>
        </w:rPr>
        <w:t>Zaker</w:t>
      </w:r>
      <w:proofErr w:type="spellEnd"/>
      <w:r w:rsidRPr="000C02C3">
        <w:rPr>
          <w:rFonts w:asciiTheme="majorBidi" w:hAnsiTheme="majorBidi" w:cstheme="majorBidi"/>
        </w:rPr>
        <w:t>, T. A. (2019). Determination of uranium contents in soil samples in AL-</w:t>
      </w:r>
      <w:proofErr w:type="spellStart"/>
      <w:r w:rsidRPr="000C02C3">
        <w:rPr>
          <w:rFonts w:asciiTheme="majorBidi" w:hAnsiTheme="majorBidi" w:cstheme="majorBidi"/>
        </w:rPr>
        <w:t>Hamdaniya</w:t>
      </w:r>
      <w:proofErr w:type="spellEnd"/>
      <w:r w:rsidRPr="000C02C3">
        <w:rPr>
          <w:rFonts w:asciiTheme="majorBidi" w:hAnsiTheme="majorBidi" w:cstheme="majorBidi"/>
        </w:rPr>
        <w:t xml:space="preserve"> region using solid state nuclear track detector CR-39. </w:t>
      </w:r>
      <w:r w:rsidRPr="000C02C3">
        <w:rPr>
          <w:rFonts w:asciiTheme="majorBidi" w:hAnsiTheme="majorBidi" w:cstheme="majorBidi"/>
          <w:i/>
          <w:iCs/>
          <w:bdr w:val="single" w:sz="2" w:space="0" w:color="ECEDEE" w:frame="1"/>
        </w:rPr>
        <w:t>Al-</w:t>
      </w:r>
      <w:proofErr w:type="spellStart"/>
      <w:r w:rsidRPr="000C02C3">
        <w:rPr>
          <w:rFonts w:asciiTheme="majorBidi" w:hAnsiTheme="majorBidi" w:cstheme="majorBidi"/>
          <w:i/>
          <w:iCs/>
          <w:bdr w:val="single" w:sz="2" w:space="0" w:color="ECEDEE" w:frame="1"/>
        </w:rPr>
        <w:t>Mustansiriyah</w:t>
      </w:r>
      <w:proofErr w:type="spellEnd"/>
      <w:r w:rsidRPr="000C02C3">
        <w:rPr>
          <w:rFonts w:asciiTheme="majorBidi" w:hAnsiTheme="majorBidi" w:cstheme="majorBidi"/>
          <w:i/>
          <w:iCs/>
          <w:bdr w:val="single" w:sz="2" w:space="0" w:color="ECEDEE" w:frame="1"/>
        </w:rPr>
        <w:t xml:space="preserve"> Journal of Science</w:t>
      </w:r>
      <w:r w:rsidRPr="000C02C3">
        <w:rPr>
          <w:rFonts w:asciiTheme="majorBidi" w:hAnsiTheme="majorBidi" w:cstheme="majorBidi"/>
        </w:rPr>
        <w:t>, </w:t>
      </w:r>
      <w:r w:rsidRPr="000C02C3">
        <w:rPr>
          <w:rFonts w:asciiTheme="majorBidi" w:hAnsiTheme="majorBidi" w:cstheme="majorBidi"/>
          <w:i/>
          <w:iCs/>
          <w:bdr w:val="single" w:sz="2" w:space="0" w:color="ECEDEE" w:frame="1"/>
        </w:rPr>
        <w:t>30</w:t>
      </w:r>
      <w:r w:rsidRPr="000C02C3">
        <w:rPr>
          <w:rFonts w:asciiTheme="majorBidi" w:hAnsiTheme="majorBidi" w:cstheme="majorBidi"/>
        </w:rPr>
        <w:t>(1), 199–204. </w:t>
      </w:r>
      <w:hyperlink r:id="rId23" w:history="1">
        <w:r w:rsidRPr="000C02C3">
          <w:rPr>
            <w:rStyle w:val="Hyperlink"/>
            <w:rFonts w:asciiTheme="majorBidi" w:hAnsiTheme="majorBidi" w:cstheme="majorBidi"/>
          </w:rPr>
          <w:t>https://doi.org/10.23851/mjs.v30i1.358</w:t>
        </w:r>
      </w:hyperlink>
      <w:r w:rsidR="000C02C3">
        <w:rPr>
          <w:rFonts w:eastAsia="CIDFont+F1"/>
          <w:color w:val="000000"/>
        </w:rPr>
        <w:t xml:space="preserve"> </w:t>
      </w:r>
    </w:p>
    <w:p w:rsidR="000C02C3" w:rsidRDefault="00736C0C" w:rsidP="00C44F53">
      <w:pPr>
        <w:numPr>
          <w:ilvl w:val="0"/>
          <w:numId w:val="2"/>
        </w:numPr>
        <w:autoSpaceDE w:val="0"/>
        <w:autoSpaceDN w:val="0"/>
        <w:adjustRightInd w:val="0"/>
        <w:spacing w:after="160"/>
        <w:ind w:left="284" w:hanging="284"/>
        <w:jc w:val="both"/>
        <w:rPr>
          <w:rFonts w:eastAsia="CIDFont+F1"/>
          <w:color w:val="000000"/>
        </w:rPr>
      </w:pPr>
      <w:proofErr w:type="spellStart"/>
      <w:r w:rsidRPr="000C02C3">
        <w:rPr>
          <w:rFonts w:asciiTheme="majorBidi" w:hAnsiTheme="majorBidi" w:cstheme="majorBidi"/>
          <w:color w:val="05103E"/>
        </w:rPr>
        <w:t>Bjørklund</w:t>
      </w:r>
      <w:proofErr w:type="spellEnd"/>
      <w:r w:rsidRPr="000C02C3">
        <w:rPr>
          <w:rFonts w:asciiTheme="majorBidi" w:hAnsiTheme="majorBidi" w:cstheme="majorBidi"/>
          <w:color w:val="05103E"/>
        </w:rPr>
        <w:t xml:space="preserve">, G., </w:t>
      </w:r>
      <w:proofErr w:type="spellStart"/>
      <w:r w:rsidRPr="000C02C3">
        <w:rPr>
          <w:rFonts w:asciiTheme="majorBidi" w:hAnsiTheme="majorBidi" w:cstheme="majorBidi"/>
          <w:color w:val="05103E"/>
        </w:rPr>
        <w:t>Semenova</w:t>
      </w:r>
      <w:proofErr w:type="spellEnd"/>
      <w:r w:rsidRPr="000C02C3">
        <w:rPr>
          <w:rFonts w:asciiTheme="majorBidi" w:hAnsiTheme="majorBidi" w:cstheme="majorBidi"/>
          <w:color w:val="05103E"/>
        </w:rPr>
        <w:t xml:space="preserve">, Y., </w:t>
      </w:r>
      <w:proofErr w:type="spellStart"/>
      <w:r w:rsidRPr="000C02C3">
        <w:rPr>
          <w:rFonts w:asciiTheme="majorBidi" w:hAnsiTheme="majorBidi" w:cstheme="majorBidi"/>
          <w:color w:val="05103E"/>
        </w:rPr>
        <w:t>Pivina</w:t>
      </w:r>
      <w:proofErr w:type="spellEnd"/>
      <w:r w:rsidRPr="000C02C3">
        <w:rPr>
          <w:rFonts w:asciiTheme="majorBidi" w:hAnsiTheme="majorBidi" w:cstheme="majorBidi"/>
          <w:color w:val="05103E"/>
        </w:rPr>
        <w:t xml:space="preserve">, L., </w:t>
      </w:r>
      <w:proofErr w:type="spellStart"/>
      <w:r w:rsidRPr="000C02C3">
        <w:rPr>
          <w:rFonts w:asciiTheme="majorBidi" w:hAnsiTheme="majorBidi" w:cstheme="majorBidi"/>
          <w:color w:val="05103E"/>
        </w:rPr>
        <w:t>Dadar</w:t>
      </w:r>
      <w:proofErr w:type="spellEnd"/>
      <w:r w:rsidRPr="000C02C3">
        <w:rPr>
          <w:rFonts w:asciiTheme="majorBidi" w:hAnsiTheme="majorBidi" w:cstheme="majorBidi"/>
          <w:color w:val="05103E"/>
        </w:rPr>
        <w:t xml:space="preserve">, M., Rahman, M. M., </w:t>
      </w:r>
      <w:proofErr w:type="spellStart"/>
      <w:r w:rsidRPr="000C02C3">
        <w:rPr>
          <w:rFonts w:asciiTheme="majorBidi" w:hAnsiTheme="majorBidi" w:cstheme="majorBidi"/>
          <w:color w:val="05103E"/>
        </w:rPr>
        <w:t>Aaseth</w:t>
      </w:r>
      <w:proofErr w:type="spellEnd"/>
      <w:r w:rsidRPr="000C02C3">
        <w:rPr>
          <w:rFonts w:asciiTheme="majorBidi" w:hAnsiTheme="majorBidi" w:cstheme="majorBidi"/>
          <w:color w:val="05103E"/>
        </w:rPr>
        <w:t>, J., &amp; Chirumbolo, S. (2020). Uranium in drinking water: a public health threat. </w:t>
      </w:r>
      <w:r w:rsidRPr="000C02C3">
        <w:rPr>
          <w:rFonts w:asciiTheme="majorBidi" w:hAnsiTheme="majorBidi" w:cstheme="majorBidi"/>
          <w:i/>
          <w:iCs/>
          <w:color w:val="05103E"/>
          <w:bdr w:val="single" w:sz="2" w:space="0" w:color="ECEDEE" w:frame="1"/>
        </w:rPr>
        <w:t>Archives of Toxicology</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94</w:t>
      </w:r>
      <w:r w:rsidRPr="000C02C3">
        <w:rPr>
          <w:rFonts w:asciiTheme="majorBidi" w:hAnsiTheme="majorBidi" w:cstheme="majorBidi"/>
          <w:color w:val="05103E"/>
        </w:rPr>
        <w:t>(5), 1551–1560. </w:t>
      </w:r>
      <w:hyperlink r:id="rId24" w:history="1">
        <w:r w:rsidRPr="000C02C3">
          <w:rPr>
            <w:rStyle w:val="Hyperlink"/>
            <w:rFonts w:asciiTheme="majorBidi" w:hAnsiTheme="majorBidi" w:cstheme="majorBidi"/>
            <w:bdr w:val="single" w:sz="2" w:space="0" w:color="ECEDEE" w:frame="1"/>
          </w:rPr>
          <w:t>https://doi.org/10.1007/s00204-020-02676-8</w:t>
        </w:r>
      </w:hyperlink>
      <w:r w:rsidR="000C02C3">
        <w:rPr>
          <w:rFonts w:eastAsia="CIDFont+F1"/>
          <w:color w:val="000000"/>
        </w:rPr>
        <w:t xml:space="preserve"> </w:t>
      </w:r>
    </w:p>
    <w:p w:rsidR="00F37773" w:rsidRDefault="00D86E84" w:rsidP="00F37773">
      <w:pPr>
        <w:numPr>
          <w:ilvl w:val="0"/>
          <w:numId w:val="2"/>
        </w:numPr>
        <w:autoSpaceDE w:val="0"/>
        <w:autoSpaceDN w:val="0"/>
        <w:adjustRightInd w:val="0"/>
        <w:spacing w:after="160"/>
        <w:ind w:left="284" w:hanging="284"/>
        <w:jc w:val="both"/>
        <w:rPr>
          <w:rFonts w:eastAsia="CIDFont+F1"/>
          <w:color w:val="000000"/>
        </w:rPr>
      </w:pPr>
      <w:proofErr w:type="spellStart"/>
      <w:r w:rsidRPr="000C02C3">
        <w:rPr>
          <w:rFonts w:asciiTheme="majorBidi" w:hAnsiTheme="majorBidi" w:cstheme="majorBidi"/>
          <w:color w:val="05103E"/>
        </w:rPr>
        <w:t>Kilavi</w:t>
      </w:r>
      <w:proofErr w:type="spellEnd"/>
      <w:r w:rsidRPr="000C02C3">
        <w:rPr>
          <w:rFonts w:asciiTheme="majorBidi" w:hAnsiTheme="majorBidi" w:cstheme="majorBidi"/>
          <w:color w:val="05103E"/>
        </w:rPr>
        <w:t xml:space="preserve">, P. K., </w:t>
      </w:r>
      <w:proofErr w:type="spellStart"/>
      <w:r w:rsidRPr="000C02C3">
        <w:rPr>
          <w:rFonts w:asciiTheme="majorBidi" w:hAnsiTheme="majorBidi" w:cstheme="majorBidi"/>
          <w:color w:val="05103E"/>
        </w:rPr>
        <w:t>Kaniu</w:t>
      </w:r>
      <w:proofErr w:type="spellEnd"/>
      <w:r w:rsidRPr="000C02C3">
        <w:rPr>
          <w:rFonts w:asciiTheme="majorBidi" w:hAnsiTheme="majorBidi" w:cstheme="majorBidi"/>
          <w:color w:val="05103E"/>
        </w:rPr>
        <w:t xml:space="preserve">, M. I., Patel, J. P., &amp; Usman, I. T. (2021). Quality and human health risk assessment of uranium and other heavy metals in drinking water from </w:t>
      </w:r>
      <w:proofErr w:type="spellStart"/>
      <w:r w:rsidRPr="000C02C3">
        <w:rPr>
          <w:rFonts w:asciiTheme="majorBidi" w:hAnsiTheme="majorBidi" w:cstheme="majorBidi"/>
          <w:color w:val="05103E"/>
        </w:rPr>
        <w:t>Kwale</w:t>
      </w:r>
      <w:proofErr w:type="spellEnd"/>
      <w:r w:rsidRPr="000C02C3">
        <w:rPr>
          <w:rFonts w:asciiTheme="majorBidi" w:hAnsiTheme="majorBidi" w:cstheme="majorBidi"/>
          <w:color w:val="05103E"/>
        </w:rPr>
        <w:t xml:space="preserve"> County, Kenya. </w:t>
      </w:r>
      <w:r w:rsidRPr="000C02C3">
        <w:rPr>
          <w:rFonts w:asciiTheme="majorBidi" w:hAnsiTheme="majorBidi" w:cstheme="majorBidi"/>
          <w:i/>
          <w:iCs/>
          <w:color w:val="05103E"/>
          <w:bdr w:val="single" w:sz="2" w:space="0" w:color="ECEDEE" w:frame="1"/>
        </w:rPr>
        <w:t>Environmental Monitoring and Assessment</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193</w:t>
      </w:r>
      <w:r w:rsidRPr="000C02C3">
        <w:rPr>
          <w:rFonts w:asciiTheme="majorBidi" w:hAnsiTheme="majorBidi" w:cstheme="majorBidi"/>
          <w:color w:val="05103E"/>
        </w:rPr>
        <w:t>(11). </w:t>
      </w:r>
      <w:hyperlink r:id="rId25" w:history="1">
        <w:r w:rsidRPr="000C02C3">
          <w:rPr>
            <w:rStyle w:val="Hyperlink"/>
            <w:rFonts w:asciiTheme="majorBidi" w:hAnsiTheme="majorBidi" w:cstheme="majorBidi"/>
            <w:bdr w:val="single" w:sz="2" w:space="0" w:color="ECEDEE" w:frame="1"/>
          </w:rPr>
          <w:t>https://doi.org/10.1007/s10661-021-09466-4</w:t>
        </w:r>
      </w:hyperlink>
      <w:r w:rsidR="00F37773">
        <w:rPr>
          <w:rFonts w:eastAsia="CIDFont+F1"/>
          <w:color w:val="000000"/>
        </w:rPr>
        <w:t xml:space="preserve"> </w:t>
      </w:r>
    </w:p>
    <w:p w:rsidR="000C02C3" w:rsidRPr="00F37773" w:rsidRDefault="00D86E84" w:rsidP="00F37773">
      <w:pPr>
        <w:numPr>
          <w:ilvl w:val="0"/>
          <w:numId w:val="2"/>
        </w:numPr>
        <w:autoSpaceDE w:val="0"/>
        <w:autoSpaceDN w:val="0"/>
        <w:adjustRightInd w:val="0"/>
        <w:spacing w:after="160"/>
        <w:ind w:left="426" w:hanging="426"/>
        <w:jc w:val="both"/>
        <w:rPr>
          <w:rFonts w:eastAsia="CIDFont+F1"/>
          <w:color w:val="000000"/>
        </w:rPr>
      </w:pPr>
      <w:r w:rsidRPr="00F37773">
        <w:rPr>
          <w:rFonts w:asciiTheme="majorBidi" w:hAnsiTheme="majorBidi" w:cstheme="majorBidi"/>
          <w:color w:val="05103E"/>
        </w:rPr>
        <w:t xml:space="preserve">Ahmed, R. S., Mohammed, R. S., Mahdi, K. H., Mahdi, Q. A., Mostafa, M. Y., &amp; </w:t>
      </w:r>
      <w:proofErr w:type="spellStart"/>
      <w:r w:rsidRPr="00F37773">
        <w:rPr>
          <w:rFonts w:asciiTheme="majorBidi" w:hAnsiTheme="majorBidi" w:cstheme="majorBidi"/>
          <w:color w:val="05103E"/>
        </w:rPr>
        <w:t>Khalaf</w:t>
      </w:r>
      <w:proofErr w:type="spellEnd"/>
      <w:r w:rsidRPr="00F37773">
        <w:rPr>
          <w:rFonts w:asciiTheme="majorBidi" w:hAnsiTheme="majorBidi" w:cstheme="majorBidi"/>
          <w:color w:val="05103E"/>
        </w:rPr>
        <w:t>, H. N. (2022). Evaluation of uranium concentration in the blood breast cancer women with CR-39 detector. </w:t>
      </w:r>
      <w:r w:rsidRPr="00F37773">
        <w:rPr>
          <w:rFonts w:asciiTheme="majorBidi" w:hAnsiTheme="majorBidi" w:cstheme="majorBidi"/>
          <w:i/>
          <w:iCs/>
          <w:color w:val="05103E"/>
          <w:bdr w:val="single" w:sz="2" w:space="0" w:color="ECEDEE" w:frame="1"/>
        </w:rPr>
        <w:t>Applied Radiation and Isotopes</w:t>
      </w:r>
      <w:r w:rsidRPr="00F37773">
        <w:rPr>
          <w:rFonts w:asciiTheme="majorBidi" w:hAnsiTheme="majorBidi" w:cstheme="majorBidi"/>
          <w:color w:val="05103E"/>
        </w:rPr>
        <w:t>, </w:t>
      </w:r>
      <w:r w:rsidRPr="00F37773">
        <w:rPr>
          <w:rFonts w:asciiTheme="majorBidi" w:hAnsiTheme="majorBidi" w:cstheme="majorBidi"/>
          <w:i/>
          <w:iCs/>
          <w:color w:val="05103E"/>
          <w:bdr w:val="single" w:sz="2" w:space="0" w:color="ECEDEE" w:frame="1"/>
        </w:rPr>
        <w:t>182</w:t>
      </w:r>
      <w:r w:rsidRPr="00F37773">
        <w:rPr>
          <w:rFonts w:asciiTheme="majorBidi" w:hAnsiTheme="majorBidi" w:cstheme="majorBidi"/>
          <w:color w:val="05103E"/>
        </w:rPr>
        <w:t>, 110120. </w:t>
      </w:r>
      <w:hyperlink r:id="rId26" w:history="1">
        <w:r w:rsidRPr="00F37773">
          <w:rPr>
            <w:rStyle w:val="Hyperlink"/>
            <w:rFonts w:asciiTheme="majorBidi" w:hAnsiTheme="majorBidi" w:cstheme="majorBidi"/>
            <w:bdr w:val="single" w:sz="2" w:space="0" w:color="ECEDEE" w:frame="1"/>
          </w:rPr>
          <w:t>https://doi.org/10.1016/j.apradiso.2022.110120</w:t>
        </w:r>
      </w:hyperlink>
      <w:r w:rsidR="000C02C3" w:rsidRPr="00F37773">
        <w:rPr>
          <w:rFonts w:eastAsia="CIDFont+F1"/>
          <w:color w:val="000000"/>
        </w:rPr>
        <w:t xml:space="preserve"> </w:t>
      </w:r>
    </w:p>
    <w:p w:rsidR="000C02C3" w:rsidRDefault="00264A6D" w:rsidP="00F37773">
      <w:pPr>
        <w:numPr>
          <w:ilvl w:val="0"/>
          <w:numId w:val="2"/>
        </w:numPr>
        <w:autoSpaceDE w:val="0"/>
        <w:autoSpaceDN w:val="0"/>
        <w:adjustRightInd w:val="0"/>
        <w:spacing w:after="160"/>
        <w:ind w:left="426" w:hanging="426"/>
        <w:jc w:val="both"/>
        <w:rPr>
          <w:rFonts w:eastAsia="CIDFont+F1"/>
          <w:color w:val="000000"/>
        </w:rPr>
      </w:pPr>
      <w:proofErr w:type="spellStart"/>
      <w:r w:rsidRPr="000C02C3">
        <w:rPr>
          <w:rFonts w:asciiTheme="majorBidi" w:hAnsiTheme="majorBidi" w:cstheme="majorBidi"/>
          <w:color w:val="05103E"/>
        </w:rPr>
        <w:t>Redvers</w:t>
      </w:r>
      <w:proofErr w:type="spellEnd"/>
      <w:r w:rsidRPr="000C02C3">
        <w:rPr>
          <w:rFonts w:asciiTheme="majorBidi" w:hAnsiTheme="majorBidi" w:cstheme="majorBidi"/>
          <w:color w:val="05103E"/>
        </w:rPr>
        <w:t xml:space="preserve">, N., Chischilly, A. M., Warne, D., </w:t>
      </w:r>
      <w:proofErr w:type="spellStart"/>
      <w:r w:rsidRPr="000C02C3">
        <w:rPr>
          <w:rFonts w:asciiTheme="majorBidi" w:hAnsiTheme="majorBidi" w:cstheme="majorBidi"/>
          <w:color w:val="05103E"/>
        </w:rPr>
        <w:t>Pino</w:t>
      </w:r>
      <w:proofErr w:type="spellEnd"/>
      <w:r w:rsidRPr="000C02C3">
        <w:rPr>
          <w:rFonts w:asciiTheme="majorBidi" w:hAnsiTheme="majorBidi" w:cstheme="majorBidi"/>
          <w:color w:val="05103E"/>
        </w:rPr>
        <w:t>, M., &amp; Lyon-Colbert, A. (2021). Uranium exposure in American Indian communities: health, policy, and the way forward. </w:t>
      </w:r>
      <w:r w:rsidRPr="000C02C3">
        <w:rPr>
          <w:rFonts w:asciiTheme="majorBidi" w:hAnsiTheme="majorBidi" w:cstheme="majorBidi"/>
          <w:i/>
          <w:iCs/>
          <w:color w:val="05103E"/>
          <w:bdr w:val="single" w:sz="2" w:space="0" w:color="ECEDEE" w:frame="1"/>
        </w:rPr>
        <w:t>Environmental Health Perspectives</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129</w:t>
      </w:r>
      <w:r w:rsidRPr="000C02C3">
        <w:rPr>
          <w:rFonts w:asciiTheme="majorBidi" w:hAnsiTheme="majorBidi" w:cstheme="majorBidi"/>
          <w:color w:val="05103E"/>
        </w:rPr>
        <w:t>(3). </w:t>
      </w:r>
      <w:hyperlink r:id="rId27" w:history="1">
        <w:r w:rsidRPr="000C02C3">
          <w:rPr>
            <w:rStyle w:val="Hyperlink"/>
            <w:rFonts w:asciiTheme="majorBidi" w:hAnsiTheme="majorBidi" w:cstheme="majorBidi"/>
            <w:bdr w:val="single" w:sz="2" w:space="0" w:color="ECEDEE" w:frame="1"/>
          </w:rPr>
          <w:t>https://doi.org/10.1289/ehp7537</w:t>
        </w:r>
      </w:hyperlink>
      <w:r w:rsidR="000C02C3">
        <w:rPr>
          <w:rFonts w:eastAsia="CIDFont+F1"/>
          <w:color w:val="000000"/>
        </w:rPr>
        <w:t xml:space="preserve"> </w:t>
      </w:r>
    </w:p>
    <w:p w:rsidR="000C02C3" w:rsidRDefault="00264A6D" w:rsidP="00F37773">
      <w:pPr>
        <w:numPr>
          <w:ilvl w:val="0"/>
          <w:numId w:val="2"/>
        </w:numPr>
        <w:autoSpaceDE w:val="0"/>
        <w:autoSpaceDN w:val="0"/>
        <w:adjustRightInd w:val="0"/>
        <w:spacing w:after="160"/>
        <w:ind w:left="426" w:hanging="426"/>
        <w:jc w:val="both"/>
        <w:rPr>
          <w:rFonts w:eastAsia="CIDFont+F1"/>
          <w:color w:val="000000"/>
        </w:rPr>
      </w:pPr>
      <w:r w:rsidRPr="000C02C3">
        <w:rPr>
          <w:rFonts w:asciiTheme="majorBidi" w:hAnsiTheme="majorBidi" w:cstheme="majorBidi"/>
          <w:color w:val="05103E"/>
        </w:rPr>
        <w:t xml:space="preserve">Lin, Y., Hoover, J., </w:t>
      </w:r>
      <w:proofErr w:type="spellStart"/>
      <w:r w:rsidRPr="000C02C3">
        <w:rPr>
          <w:rFonts w:asciiTheme="majorBidi" w:hAnsiTheme="majorBidi" w:cstheme="majorBidi"/>
          <w:color w:val="05103E"/>
        </w:rPr>
        <w:t>Beene</w:t>
      </w:r>
      <w:proofErr w:type="spellEnd"/>
      <w:r w:rsidRPr="000C02C3">
        <w:rPr>
          <w:rFonts w:asciiTheme="majorBidi" w:hAnsiTheme="majorBidi" w:cstheme="majorBidi"/>
          <w:color w:val="05103E"/>
        </w:rPr>
        <w:t xml:space="preserve">, D., </w:t>
      </w:r>
      <w:proofErr w:type="spellStart"/>
      <w:r w:rsidRPr="000C02C3">
        <w:rPr>
          <w:rFonts w:asciiTheme="majorBidi" w:hAnsiTheme="majorBidi" w:cstheme="majorBidi"/>
          <w:color w:val="05103E"/>
        </w:rPr>
        <w:t>Erdei</w:t>
      </w:r>
      <w:proofErr w:type="spellEnd"/>
      <w:r w:rsidRPr="000C02C3">
        <w:rPr>
          <w:rFonts w:asciiTheme="majorBidi" w:hAnsiTheme="majorBidi" w:cstheme="majorBidi"/>
          <w:color w:val="05103E"/>
        </w:rPr>
        <w:t>, E., &amp; Liu, Z. (2020). Environmental risk mapping of potential abandoned uranium mine contamination on the Navajo Nation, USA, using a GIS-based multi-criteria decision analysis approach. </w:t>
      </w:r>
      <w:r w:rsidRPr="000C02C3">
        <w:rPr>
          <w:rFonts w:asciiTheme="majorBidi" w:hAnsiTheme="majorBidi" w:cstheme="majorBidi"/>
          <w:i/>
          <w:iCs/>
          <w:color w:val="05103E"/>
          <w:bdr w:val="single" w:sz="2" w:space="0" w:color="ECEDEE" w:frame="1"/>
        </w:rPr>
        <w:t>Environmental Science and Pollution Research</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27</w:t>
      </w:r>
      <w:r w:rsidRPr="000C02C3">
        <w:rPr>
          <w:rFonts w:asciiTheme="majorBidi" w:hAnsiTheme="majorBidi" w:cstheme="majorBidi"/>
          <w:color w:val="05103E"/>
        </w:rPr>
        <w:t>(24), 30542–30557. </w:t>
      </w:r>
      <w:hyperlink r:id="rId28" w:history="1">
        <w:r w:rsidRPr="000C02C3">
          <w:rPr>
            <w:rStyle w:val="Hyperlink"/>
            <w:rFonts w:asciiTheme="majorBidi" w:hAnsiTheme="majorBidi" w:cstheme="majorBidi"/>
            <w:bdr w:val="single" w:sz="2" w:space="0" w:color="ECEDEE" w:frame="1"/>
          </w:rPr>
          <w:t>https://doi.org/10.1007/s11356-020-09257-3</w:t>
        </w:r>
      </w:hyperlink>
      <w:r w:rsidR="000C02C3">
        <w:rPr>
          <w:rFonts w:eastAsia="CIDFont+F1"/>
          <w:color w:val="000000"/>
        </w:rPr>
        <w:t xml:space="preserve"> </w:t>
      </w:r>
    </w:p>
    <w:p w:rsidR="000C02C3" w:rsidRDefault="00264A6D" w:rsidP="00F37773">
      <w:pPr>
        <w:numPr>
          <w:ilvl w:val="0"/>
          <w:numId w:val="2"/>
        </w:numPr>
        <w:autoSpaceDE w:val="0"/>
        <w:autoSpaceDN w:val="0"/>
        <w:adjustRightInd w:val="0"/>
        <w:spacing w:after="160"/>
        <w:ind w:left="426" w:hanging="426"/>
        <w:jc w:val="both"/>
        <w:rPr>
          <w:rFonts w:eastAsia="CIDFont+F1"/>
          <w:color w:val="000000"/>
        </w:rPr>
      </w:pPr>
      <w:r w:rsidRPr="000C02C3">
        <w:rPr>
          <w:rFonts w:asciiTheme="majorBidi" w:hAnsiTheme="majorBidi" w:cstheme="majorBidi"/>
          <w:color w:val="05103E"/>
        </w:rPr>
        <w:t>Ma, M., Wang, R., Xu, L., Xu, M., &amp; Liu, S. (2020). Emerging health risks and underlying toxicological mechanisms of uranium contamination: Lessons from the past two decades. </w:t>
      </w:r>
      <w:r w:rsidRPr="000C02C3">
        <w:rPr>
          <w:rFonts w:asciiTheme="majorBidi" w:hAnsiTheme="majorBidi" w:cstheme="majorBidi"/>
          <w:i/>
          <w:iCs/>
          <w:color w:val="05103E"/>
          <w:bdr w:val="single" w:sz="2" w:space="0" w:color="ECEDEE" w:frame="1"/>
        </w:rPr>
        <w:t>Environment International</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145</w:t>
      </w:r>
      <w:r w:rsidRPr="000C02C3">
        <w:rPr>
          <w:rFonts w:asciiTheme="majorBidi" w:hAnsiTheme="majorBidi" w:cstheme="majorBidi"/>
          <w:color w:val="05103E"/>
        </w:rPr>
        <w:t>,106107. </w:t>
      </w:r>
      <w:r w:rsidRPr="000C02C3">
        <w:rPr>
          <w:rStyle w:val="url"/>
          <w:rFonts w:asciiTheme="majorBidi" w:hAnsiTheme="majorBidi" w:cstheme="majorBidi"/>
          <w:color w:val="05103E"/>
          <w:bdr w:val="single" w:sz="2" w:space="0" w:color="ECEDEE" w:frame="1"/>
        </w:rPr>
        <w:t xml:space="preserve"> </w:t>
      </w:r>
      <w:hyperlink r:id="rId29" w:history="1">
        <w:r w:rsidRPr="000C02C3">
          <w:rPr>
            <w:rStyle w:val="Hyperlink"/>
            <w:rFonts w:asciiTheme="majorBidi" w:hAnsiTheme="majorBidi" w:cstheme="majorBidi"/>
            <w:bdr w:val="single" w:sz="2" w:space="0" w:color="ECEDEE" w:frame="1"/>
          </w:rPr>
          <w:t>https://doi.org/10.1016/j.envint.2020.106107</w:t>
        </w:r>
      </w:hyperlink>
      <w:r w:rsidR="000C02C3">
        <w:rPr>
          <w:rFonts w:eastAsia="CIDFont+F1"/>
          <w:color w:val="000000"/>
        </w:rPr>
        <w:t xml:space="preserve"> </w:t>
      </w:r>
    </w:p>
    <w:p w:rsidR="000C02C3" w:rsidRDefault="00264A6D" w:rsidP="00F37773">
      <w:pPr>
        <w:numPr>
          <w:ilvl w:val="0"/>
          <w:numId w:val="2"/>
        </w:numPr>
        <w:autoSpaceDE w:val="0"/>
        <w:autoSpaceDN w:val="0"/>
        <w:adjustRightInd w:val="0"/>
        <w:spacing w:after="160"/>
        <w:ind w:left="426" w:hanging="426"/>
        <w:jc w:val="both"/>
        <w:rPr>
          <w:rFonts w:eastAsia="CIDFont+F1"/>
          <w:color w:val="000000"/>
        </w:rPr>
      </w:pPr>
      <w:r w:rsidRPr="000C02C3">
        <w:rPr>
          <w:rFonts w:asciiTheme="majorBidi" w:hAnsiTheme="majorBidi" w:cstheme="majorBidi"/>
          <w:color w:val="05103E"/>
        </w:rPr>
        <w:t xml:space="preserve">Mohammed, H. N., &amp; </w:t>
      </w:r>
      <w:proofErr w:type="spellStart"/>
      <w:r w:rsidRPr="000C02C3">
        <w:rPr>
          <w:rFonts w:asciiTheme="majorBidi" w:hAnsiTheme="majorBidi" w:cstheme="majorBidi"/>
          <w:color w:val="05103E"/>
        </w:rPr>
        <w:t>Alkhayat</w:t>
      </w:r>
      <w:proofErr w:type="spellEnd"/>
      <w:r w:rsidRPr="000C02C3">
        <w:rPr>
          <w:rFonts w:asciiTheme="majorBidi" w:hAnsiTheme="majorBidi" w:cstheme="majorBidi"/>
          <w:color w:val="05103E"/>
        </w:rPr>
        <w:t>, R. B. (2024). Assess human blood uranium levels of some Iraqi companies. </w:t>
      </w:r>
      <w:r w:rsidRPr="000C02C3">
        <w:rPr>
          <w:rFonts w:asciiTheme="majorBidi" w:hAnsiTheme="majorBidi" w:cstheme="majorBidi"/>
          <w:i/>
          <w:iCs/>
          <w:color w:val="05103E"/>
          <w:bdr w:val="single" w:sz="2" w:space="0" w:color="ECEDEE" w:frame="1"/>
        </w:rPr>
        <w:t>Applied Radiation and Isotopes</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212</w:t>
      </w:r>
      <w:r w:rsidRPr="000C02C3">
        <w:rPr>
          <w:rFonts w:asciiTheme="majorBidi" w:hAnsiTheme="majorBidi" w:cstheme="majorBidi"/>
          <w:color w:val="05103E"/>
        </w:rPr>
        <w:t>,111470. </w:t>
      </w:r>
      <w:r w:rsidRPr="000C02C3">
        <w:rPr>
          <w:rStyle w:val="url"/>
          <w:rFonts w:asciiTheme="majorBidi" w:hAnsiTheme="majorBidi" w:cstheme="majorBidi"/>
          <w:color w:val="05103E"/>
          <w:bdr w:val="single" w:sz="2" w:space="0" w:color="ECEDEE" w:frame="1"/>
        </w:rPr>
        <w:t xml:space="preserve"> </w:t>
      </w:r>
      <w:hyperlink r:id="rId30" w:history="1">
        <w:r w:rsidRPr="000C02C3">
          <w:rPr>
            <w:rStyle w:val="Hyperlink"/>
            <w:rFonts w:asciiTheme="majorBidi" w:hAnsiTheme="majorBidi" w:cstheme="majorBidi"/>
            <w:bdr w:val="single" w:sz="2" w:space="0" w:color="ECEDEE" w:frame="1"/>
          </w:rPr>
          <w:t>https://doi.org/10.1016/j.apradiso.2024.111470</w:t>
        </w:r>
      </w:hyperlink>
      <w:r w:rsidR="000C02C3">
        <w:rPr>
          <w:rFonts w:eastAsia="CIDFont+F1"/>
          <w:color w:val="000000"/>
        </w:rPr>
        <w:t xml:space="preserve"> </w:t>
      </w:r>
    </w:p>
    <w:p w:rsidR="000C02C3" w:rsidRDefault="00264A6D" w:rsidP="00F37773">
      <w:pPr>
        <w:numPr>
          <w:ilvl w:val="0"/>
          <w:numId w:val="2"/>
        </w:numPr>
        <w:autoSpaceDE w:val="0"/>
        <w:autoSpaceDN w:val="0"/>
        <w:adjustRightInd w:val="0"/>
        <w:spacing w:after="160"/>
        <w:ind w:left="426" w:hanging="426"/>
        <w:jc w:val="both"/>
        <w:rPr>
          <w:rFonts w:eastAsia="CIDFont+F1"/>
          <w:color w:val="000000"/>
        </w:rPr>
      </w:pPr>
      <w:proofErr w:type="spellStart"/>
      <w:r w:rsidRPr="000C02C3">
        <w:rPr>
          <w:rFonts w:asciiTheme="majorBidi" w:hAnsiTheme="majorBidi" w:cstheme="majorBidi"/>
          <w:color w:val="05103E"/>
        </w:rPr>
        <w:t>Obrador</w:t>
      </w:r>
      <w:proofErr w:type="spellEnd"/>
      <w:r w:rsidRPr="000C02C3">
        <w:rPr>
          <w:rFonts w:asciiTheme="majorBidi" w:hAnsiTheme="majorBidi" w:cstheme="majorBidi"/>
          <w:color w:val="05103E"/>
        </w:rPr>
        <w:t xml:space="preserve">, E., Salvador-Palmer, R., </w:t>
      </w:r>
      <w:proofErr w:type="spellStart"/>
      <w:r w:rsidRPr="000C02C3">
        <w:rPr>
          <w:rFonts w:asciiTheme="majorBidi" w:hAnsiTheme="majorBidi" w:cstheme="majorBidi"/>
          <w:color w:val="05103E"/>
        </w:rPr>
        <w:t>Villaescusa</w:t>
      </w:r>
      <w:proofErr w:type="spellEnd"/>
      <w:r w:rsidRPr="000C02C3">
        <w:rPr>
          <w:rFonts w:asciiTheme="majorBidi" w:hAnsiTheme="majorBidi" w:cstheme="majorBidi"/>
          <w:color w:val="05103E"/>
        </w:rPr>
        <w:t xml:space="preserve">, J. I., </w:t>
      </w:r>
      <w:proofErr w:type="spellStart"/>
      <w:r w:rsidRPr="000C02C3">
        <w:rPr>
          <w:rFonts w:asciiTheme="majorBidi" w:hAnsiTheme="majorBidi" w:cstheme="majorBidi"/>
          <w:color w:val="05103E"/>
        </w:rPr>
        <w:t>Gallego</w:t>
      </w:r>
      <w:proofErr w:type="spellEnd"/>
      <w:r w:rsidRPr="000C02C3">
        <w:rPr>
          <w:rFonts w:asciiTheme="majorBidi" w:hAnsiTheme="majorBidi" w:cstheme="majorBidi"/>
          <w:color w:val="05103E"/>
        </w:rPr>
        <w:t xml:space="preserve">, E., </w:t>
      </w:r>
      <w:proofErr w:type="spellStart"/>
      <w:r w:rsidRPr="000C02C3">
        <w:rPr>
          <w:rFonts w:asciiTheme="majorBidi" w:hAnsiTheme="majorBidi" w:cstheme="majorBidi"/>
          <w:color w:val="05103E"/>
        </w:rPr>
        <w:t>Pellicer</w:t>
      </w:r>
      <w:proofErr w:type="spellEnd"/>
      <w:r w:rsidRPr="000C02C3">
        <w:rPr>
          <w:rFonts w:asciiTheme="majorBidi" w:hAnsiTheme="majorBidi" w:cstheme="majorBidi"/>
          <w:color w:val="05103E"/>
        </w:rPr>
        <w:t xml:space="preserve">, B., Estrela, J. M., &amp; Montoro, A. (2022). Nuclear and radiological emergencies: biological effects, countermeasures and </w:t>
      </w:r>
      <w:proofErr w:type="spellStart"/>
      <w:r w:rsidRPr="000C02C3">
        <w:rPr>
          <w:rFonts w:asciiTheme="majorBidi" w:hAnsiTheme="majorBidi" w:cstheme="majorBidi"/>
          <w:color w:val="05103E"/>
        </w:rPr>
        <w:t>biodosimetry</w:t>
      </w:r>
      <w:proofErr w:type="spellEnd"/>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Antioxidants</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11</w:t>
      </w:r>
      <w:r w:rsidRPr="000C02C3">
        <w:rPr>
          <w:rFonts w:asciiTheme="majorBidi" w:hAnsiTheme="majorBidi" w:cstheme="majorBidi"/>
          <w:color w:val="05103E"/>
        </w:rPr>
        <w:t>(6), 1098. </w:t>
      </w:r>
      <w:hyperlink r:id="rId31" w:history="1">
        <w:r w:rsidRPr="000C02C3">
          <w:rPr>
            <w:rStyle w:val="Hyperlink"/>
            <w:rFonts w:asciiTheme="majorBidi" w:hAnsiTheme="majorBidi" w:cstheme="majorBidi"/>
            <w:bdr w:val="single" w:sz="2" w:space="0" w:color="ECEDEE" w:frame="1"/>
          </w:rPr>
          <w:t>https://doi.org/10.3390/antiox11061098</w:t>
        </w:r>
      </w:hyperlink>
      <w:r w:rsidR="000C02C3">
        <w:rPr>
          <w:rFonts w:eastAsia="CIDFont+F1"/>
          <w:color w:val="000000"/>
        </w:rPr>
        <w:t xml:space="preserve"> </w:t>
      </w:r>
    </w:p>
    <w:p w:rsidR="000C02C3" w:rsidRDefault="00264A6D" w:rsidP="00F37773">
      <w:pPr>
        <w:numPr>
          <w:ilvl w:val="0"/>
          <w:numId w:val="2"/>
        </w:numPr>
        <w:autoSpaceDE w:val="0"/>
        <w:autoSpaceDN w:val="0"/>
        <w:adjustRightInd w:val="0"/>
        <w:spacing w:after="160"/>
        <w:ind w:left="426" w:hanging="426"/>
        <w:jc w:val="both"/>
        <w:rPr>
          <w:rFonts w:eastAsia="CIDFont+F1"/>
          <w:color w:val="000000"/>
        </w:rPr>
      </w:pPr>
      <w:proofErr w:type="spellStart"/>
      <w:r w:rsidRPr="000C02C3">
        <w:rPr>
          <w:rFonts w:asciiTheme="majorBidi" w:hAnsiTheme="majorBidi" w:cstheme="majorBidi"/>
          <w:color w:val="05103E"/>
        </w:rPr>
        <w:t>Guéguen</w:t>
      </w:r>
      <w:proofErr w:type="spellEnd"/>
      <w:r w:rsidRPr="000C02C3">
        <w:rPr>
          <w:rFonts w:asciiTheme="majorBidi" w:hAnsiTheme="majorBidi" w:cstheme="majorBidi"/>
          <w:color w:val="05103E"/>
        </w:rPr>
        <w:t xml:space="preserve">, Y., &amp; </w:t>
      </w:r>
      <w:proofErr w:type="spellStart"/>
      <w:r w:rsidRPr="000C02C3">
        <w:rPr>
          <w:rFonts w:asciiTheme="majorBidi" w:hAnsiTheme="majorBidi" w:cstheme="majorBidi"/>
          <w:color w:val="05103E"/>
        </w:rPr>
        <w:t>Frerejacques</w:t>
      </w:r>
      <w:proofErr w:type="spellEnd"/>
      <w:r w:rsidRPr="000C02C3">
        <w:rPr>
          <w:rFonts w:asciiTheme="majorBidi" w:hAnsiTheme="majorBidi" w:cstheme="majorBidi"/>
          <w:color w:val="05103E"/>
        </w:rPr>
        <w:t>, M. (2022). Review of knowledge of Uranium-Induced kidney toxicity for the development of an adverse outcome pathway to renal impairment. </w:t>
      </w:r>
      <w:r w:rsidRPr="000C02C3">
        <w:rPr>
          <w:rFonts w:asciiTheme="majorBidi" w:hAnsiTheme="majorBidi" w:cstheme="majorBidi"/>
          <w:i/>
          <w:iCs/>
          <w:color w:val="05103E"/>
          <w:bdr w:val="single" w:sz="2" w:space="0" w:color="ECEDEE" w:frame="1"/>
        </w:rPr>
        <w:t>International Journal of Molecular Sciences</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23</w:t>
      </w:r>
      <w:r w:rsidRPr="000C02C3">
        <w:rPr>
          <w:rFonts w:asciiTheme="majorBidi" w:hAnsiTheme="majorBidi" w:cstheme="majorBidi"/>
          <w:color w:val="05103E"/>
        </w:rPr>
        <w:t>(8), 4397.  </w:t>
      </w:r>
      <w:hyperlink r:id="rId32" w:history="1">
        <w:r w:rsidRPr="000C02C3">
          <w:rPr>
            <w:rStyle w:val="Hyperlink"/>
            <w:rFonts w:asciiTheme="majorBidi" w:hAnsiTheme="majorBidi" w:cstheme="majorBidi"/>
            <w:bdr w:val="single" w:sz="2" w:space="0" w:color="ECEDEE" w:frame="1"/>
          </w:rPr>
          <w:t>https://doi.org/10.3390/ijms23084397</w:t>
        </w:r>
      </w:hyperlink>
      <w:r w:rsidR="000C02C3">
        <w:rPr>
          <w:rFonts w:eastAsia="CIDFont+F1"/>
          <w:color w:val="000000"/>
        </w:rPr>
        <w:t xml:space="preserve"> </w:t>
      </w:r>
    </w:p>
    <w:p w:rsidR="000C02C3" w:rsidRPr="000C02C3" w:rsidRDefault="00264A6D" w:rsidP="00F37773">
      <w:pPr>
        <w:numPr>
          <w:ilvl w:val="0"/>
          <w:numId w:val="2"/>
        </w:numPr>
        <w:autoSpaceDE w:val="0"/>
        <w:autoSpaceDN w:val="0"/>
        <w:adjustRightInd w:val="0"/>
        <w:spacing w:after="160"/>
        <w:ind w:left="426" w:hanging="426"/>
        <w:jc w:val="both"/>
        <w:rPr>
          <w:rFonts w:eastAsia="CIDFont+F1"/>
          <w:color w:val="000000"/>
        </w:rPr>
      </w:pPr>
      <w:r w:rsidRPr="000C02C3">
        <w:rPr>
          <w:rFonts w:asciiTheme="majorBidi" w:hAnsiTheme="majorBidi" w:cstheme="majorBidi"/>
          <w:color w:val="05103E"/>
        </w:rPr>
        <w:t>Yang, Y., Dai, C., Chen, X., Zhang, B., Li, X., Yang, W., Wang, J., &amp; Feng, J. (2024). Role of uranium toxicity and uranium-induced oxidative stress in advancing kidney injury and endothelial inflammation in rats. </w:t>
      </w:r>
      <w:r w:rsidRPr="000C02C3">
        <w:rPr>
          <w:rFonts w:asciiTheme="majorBidi" w:hAnsiTheme="majorBidi" w:cstheme="majorBidi"/>
          <w:i/>
          <w:iCs/>
          <w:color w:val="05103E"/>
          <w:bdr w:val="single" w:sz="2" w:space="0" w:color="ECEDEE" w:frame="1"/>
        </w:rPr>
        <w:t>BMC Pharmacology and Toxicology</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25</w:t>
      </w:r>
      <w:r w:rsidRPr="000C02C3">
        <w:rPr>
          <w:rFonts w:asciiTheme="majorBidi" w:hAnsiTheme="majorBidi" w:cstheme="majorBidi"/>
          <w:color w:val="05103E"/>
        </w:rPr>
        <w:t>(1). </w:t>
      </w:r>
      <w:hyperlink r:id="rId33" w:history="1">
        <w:r w:rsidRPr="000C02C3">
          <w:rPr>
            <w:rStyle w:val="Hyperlink"/>
            <w:rFonts w:asciiTheme="majorBidi" w:hAnsiTheme="majorBidi" w:cstheme="majorBidi"/>
            <w:bdr w:val="single" w:sz="2" w:space="0" w:color="ECEDEE" w:frame="1"/>
          </w:rPr>
          <w:t>https://doi.org/10.1186/s40360-024-00734-w</w:t>
        </w:r>
      </w:hyperlink>
      <w:r w:rsidR="000C02C3">
        <w:rPr>
          <w:rFonts w:asciiTheme="majorBidi" w:hAnsiTheme="majorBidi" w:cstheme="majorBidi"/>
        </w:rPr>
        <w:t xml:space="preserve"> </w:t>
      </w:r>
    </w:p>
    <w:p w:rsidR="000C02C3" w:rsidRDefault="00264A6D" w:rsidP="00F37773">
      <w:pPr>
        <w:numPr>
          <w:ilvl w:val="0"/>
          <w:numId w:val="2"/>
        </w:numPr>
        <w:autoSpaceDE w:val="0"/>
        <w:autoSpaceDN w:val="0"/>
        <w:adjustRightInd w:val="0"/>
        <w:spacing w:after="160"/>
        <w:ind w:left="426" w:hanging="426"/>
        <w:jc w:val="both"/>
        <w:rPr>
          <w:rFonts w:eastAsia="CIDFont+F1"/>
          <w:color w:val="000000"/>
        </w:rPr>
      </w:pPr>
      <w:proofErr w:type="spellStart"/>
      <w:r w:rsidRPr="000C02C3">
        <w:rPr>
          <w:rFonts w:asciiTheme="majorBidi" w:hAnsiTheme="majorBidi" w:cstheme="majorBidi"/>
          <w:color w:val="05103E"/>
        </w:rPr>
        <w:t>Guo</w:t>
      </w:r>
      <w:proofErr w:type="spellEnd"/>
      <w:r w:rsidRPr="000C02C3">
        <w:rPr>
          <w:rFonts w:asciiTheme="majorBidi" w:hAnsiTheme="majorBidi" w:cstheme="majorBidi"/>
          <w:color w:val="05103E"/>
        </w:rPr>
        <w:t xml:space="preserve">, Y., Liu, L., Ni, W., Pan, Y., Chen, Y., </w:t>
      </w:r>
      <w:proofErr w:type="spellStart"/>
      <w:r w:rsidRPr="000C02C3">
        <w:rPr>
          <w:rFonts w:asciiTheme="majorBidi" w:hAnsiTheme="majorBidi" w:cstheme="majorBidi"/>
          <w:color w:val="05103E"/>
        </w:rPr>
        <w:t>Xie</w:t>
      </w:r>
      <w:proofErr w:type="spellEnd"/>
      <w:r w:rsidRPr="000C02C3">
        <w:rPr>
          <w:rFonts w:asciiTheme="majorBidi" w:hAnsiTheme="majorBidi" w:cstheme="majorBidi"/>
          <w:color w:val="05103E"/>
        </w:rPr>
        <w:t xml:space="preserve">, Q., Liu, Y., </w:t>
      </w:r>
      <w:proofErr w:type="spellStart"/>
      <w:r w:rsidRPr="000C02C3">
        <w:rPr>
          <w:rFonts w:asciiTheme="majorBidi" w:hAnsiTheme="majorBidi" w:cstheme="majorBidi"/>
          <w:color w:val="05103E"/>
        </w:rPr>
        <w:t>Jin</w:t>
      </w:r>
      <w:proofErr w:type="spellEnd"/>
      <w:r w:rsidRPr="000C02C3">
        <w:rPr>
          <w:rFonts w:asciiTheme="majorBidi" w:hAnsiTheme="majorBidi" w:cstheme="majorBidi"/>
          <w:color w:val="05103E"/>
        </w:rPr>
        <w:t>, L., Li, Z., Ren, A., &amp; Wang, L. (2019). Uranium concentration in umbilical cord may increase the risk for orofacial clefts. </w:t>
      </w:r>
      <w:r w:rsidRPr="000C02C3">
        <w:rPr>
          <w:rFonts w:asciiTheme="majorBidi" w:hAnsiTheme="majorBidi" w:cstheme="majorBidi"/>
          <w:i/>
          <w:iCs/>
          <w:color w:val="05103E"/>
          <w:bdr w:val="single" w:sz="2" w:space="0" w:color="ECEDEE" w:frame="1"/>
        </w:rPr>
        <w:t>Environmental Research</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182</w:t>
      </w:r>
      <w:r w:rsidRPr="000C02C3">
        <w:rPr>
          <w:rFonts w:asciiTheme="majorBidi" w:hAnsiTheme="majorBidi" w:cstheme="majorBidi"/>
          <w:color w:val="05103E"/>
        </w:rPr>
        <w:t>, 109103. </w:t>
      </w:r>
      <w:hyperlink r:id="rId34" w:history="1">
        <w:r w:rsidRPr="000C02C3">
          <w:rPr>
            <w:rStyle w:val="Hyperlink"/>
            <w:rFonts w:asciiTheme="majorBidi" w:hAnsiTheme="majorBidi" w:cstheme="majorBidi"/>
            <w:bdr w:val="single" w:sz="2" w:space="0" w:color="ECEDEE" w:frame="1"/>
          </w:rPr>
          <w:t>https://doi.org/10.1016/j.envres.2019.109103</w:t>
        </w:r>
      </w:hyperlink>
      <w:r w:rsidR="000C02C3">
        <w:rPr>
          <w:rFonts w:eastAsia="CIDFont+F1"/>
          <w:color w:val="000000"/>
        </w:rPr>
        <w:t xml:space="preserve"> </w:t>
      </w:r>
    </w:p>
    <w:p w:rsidR="000C02C3" w:rsidRDefault="000C02C3" w:rsidP="00F37773">
      <w:pPr>
        <w:autoSpaceDE w:val="0"/>
        <w:autoSpaceDN w:val="0"/>
        <w:adjustRightInd w:val="0"/>
        <w:spacing w:after="160"/>
        <w:ind w:left="426" w:hanging="426"/>
        <w:jc w:val="both"/>
        <w:rPr>
          <w:rFonts w:eastAsia="CIDFont+F1"/>
          <w:color w:val="000000"/>
        </w:rPr>
      </w:pPr>
    </w:p>
    <w:p w:rsidR="000C02C3" w:rsidRPr="000C02C3" w:rsidRDefault="002B2D9E" w:rsidP="00F37773">
      <w:pPr>
        <w:numPr>
          <w:ilvl w:val="0"/>
          <w:numId w:val="2"/>
        </w:numPr>
        <w:autoSpaceDE w:val="0"/>
        <w:autoSpaceDN w:val="0"/>
        <w:adjustRightInd w:val="0"/>
        <w:spacing w:after="160"/>
        <w:ind w:left="426" w:hanging="426"/>
        <w:jc w:val="both"/>
        <w:rPr>
          <w:rFonts w:eastAsia="CIDFont+F1"/>
          <w:color w:val="000000"/>
        </w:rPr>
      </w:pPr>
      <w:proofErr w:type="spellStart"/>
      <w:r w:rsidRPr="000C02C3">
        <w:rPr>
          <w:color w:val="05103E"/>
        </w:rPr>
        <w:lastRenderedPageBreak/>
        <w:t>Gritsaenko</w:t>
      </w:r>
      <w:proofErr w:type="spellEnd"/>
      <w:r w:rsidRPr="000C02C3">
        <w:rPr>
          <w:color w:val="05103E"/>
        </w:rPr>
        <w:t xml:space="preserve">, T., </w:t>
      </w:r>
      <w:proofErr w:type="spellStart"/>
      <w:r w:rsidRPr="000C02C3">
        <w:rPr>
          <w:color w:val="05103E"/>
        </w:rPr>
        <w:t>Pierrefite</w:t>
      </w:r>
      <w:proofErr w:type="spellEnd"/>
      <w:r w:rsidRPr="000C02C3">
        <w:rPr>
          <w:color w:val="05103E"/>
        </w:rPr>
        <w:t xml:space="preserve">-Carle, V., </w:t>
      </w:r>
      <w:proofErr w:type="spellStart"/>
      <w:r w:rsidRPr="000C02C3">
        <w:rPr>
          <w:color w:val="05103E"/>
        </w:rPr>
        <w:t>Creff</w:t>
      </w:r>
      <w:proofErr w:type="spellEnd"/>
      <w:r w:rsidRPr="000C02C3">
        <w:rPr>
          <w:color w:val="05103E"/>
        </w:rPr>
        <w:t xml:space="preserve">, G., </w:t>
      </w:r>
      <w:proofErr w:type="spellStart"/>
      <w:r w:rsidRPr="000C02C3">
        <w:rPr>
          <w:color w:val="05103E"/>
        </w:rPr>
        <w:t>Simoneau</w:t>
      </w:r>
      <w:proofErr w:type="spellEnd"/>
      <w:r w:rsidRPr="000C02C3">
        <w:rPr>
          <w:color w:val="05103E"/>
        </w:rPr>
        <w:t xml:space="preserve">, B., </w:t>
      </w:r>
      <w:proofErr w:type="spellStart"/>
      <w:r w:rsidRPr="000C02C3">
        <w:rPr>
          <w:color w:val="05103E"/>
        </w:rPr>
        <w:t>Hagège</w:t>
      </w:r>
      <w:proofErr w:type="spellEnd"/>
      <w:r w:rsidRPr="000C02C3">
        <w:rPr>
          <w:color w:val="05103E"/>
        </w:rPr>
        <w:t xml:space="preserve">, A., </w:t>
      </w:r>
      <w:proofErr w:type="spellStart"/>
      <w:r w:rsidRPr="000C02C3">
        <w:rPr>
          <w:color w:val="05103E"/>
        </w:rPr>
        <w:t>Farlay</w:t>
      </w:r>
      <w:proofErr w:type="spellEnd"/>
      <w:r w:rsidRPr="000C02C3">
        <w:rPr>
          <w:color w:val="05103E"/>
        </w:rPr>
        <w:t xml:space="preserve">, D., </w:t>
      </w:r>
      <w:proofErr w:type="spellStart"/>
      <w:r w:rsidRPr="000C02C3">
        <w:rPr>
          <w:color w:val="05103E"/>
        </w:rPr>
        <w:t>Pagnotta</w:t>
      </w:r>
      <w:proofErr w:type="spellEnd"/>
      <w:r w:rsidRPr="000C02C3">
        <w:rPr>
          <w:color w:val="05103E"/>
        </w:rPr>
        <w:t xml:space="preserve">, S., Orange, F., </w:t>
      </w:r>
      <w:proofErr w:type="spellStart"/>
      <w:r w:rsidRPr="000C02C3">
        <w:rPr>
          <w:color w:val="05103E"/>
        </w:rPr>
        <w:t>Jaurand</w:t>
      </w:r>
      <w:proofErr w:type="spellEnd"/>
      <w:r w:rsidRPr="000C02C3">
        <w:rPr>
          <w:color w:val="05103E"/>
        </w:rPr>
        <w:t xml:space="preserve">, X., </w:t>
      </w:r>
      <w:proofErr w:type="spellStart"/>
      <w:r w:rsidRPr="000C02C3">
        <w:rPr>
          <w:color w:val="05103E"/>
        </w:rPr>
        <w:t>Auwer</w:t>
      </w:r>
      <w:proofErr w:type="spellEnd"/>
      <w:r w:rsidRPr="000C02C3">
        <w:rPr>
          <w:color w:val="05103E"/>
        </w:rPr>
        <w:t xml:space="preserve">, C. D., Carle, G. F., &amp; </w:t>
      </w:r>
      <w:proofErr w:type="spellStart"/>
      <w:r w:rsidRPr="000C02C3">
        <w:rPr>
          <w:color w:val="05103E"/>
        </w:rPr>
        <w:t>Santucci-Darmanin</w:t>
      </w:r>
      <w:proofErr w:type="spellEnd"/>
      <w:r w:rsidRPr="000C02C3">
        <w:rPr>
          <w:color w:val="05103E"/>
        </w:rPr>
        <w:t>, S. (2021). Low doses of uranium and osteoclastic bone resorption: key reciprocal effects evidenced using new in vitro biomimetic models of bone matrix. </w:t>
      </w:r>
      <w:r w:rsidRPr="000C02C3">
        <w:rPr>
          <w:i/>
          <w:iCs/>
          <w:color w:val="05103E"/>
          <w:bdr w:val="single" w:sz="2" w:space="0" w:color="ECEDEE" w:frame="1"/>
        </w:rPr>
        <w:t>Archives of Toxicology</w:t>
      </w:r>
      <w:r w:rsidRPr="000C02C3">
        <w:rPr>
          <w:color w:val="05103E"/>
        </w:rPr>
        <w:t>, </w:t>
      </w:r>
      <w:r w:rsidRPr="000C02C3">
        <w:rPr>
          <w:i/>
          <w:iCs/>
          <w:color w:val="05103E"/>
          <w:bdr w:val="single" w:sz="2" w:space="0" w:color="ECEDEE" w:frame="1"/>
        </w:rPr>
        <w:t>95</w:t>
      </w:r>
      <w:r w:rsidRPr="000C02C3">
        <w:rPr>
          <w:color w:val="05103E"/>
        </w:rPr>
        <w:t>(3), 1023–1037. </w:t>
      </w:r>
      <w:hyperlink r:id="rId35" w:history="1">
        <w:r w:rsidRPr="000C02C3">
          <w:rPr>
            <w:rStyle w:val="Hyperlink"/>
            <w:bdr w:val="single" w:sz="2" w:space="0" w:color="ECEDEE" w:frame="1"/>
          </w:rPr>
          <w:t>https://doi.org/10.1007/s00204-020-02966-1</w:t>
        </w:r>
      </w:hyperlink>
      <w:r w:rsidR="000C02C3">
        <w:rPr>
          <w:rStyle w:val="Hyperlink"/>
          <w:rFonts w:eastAsia="CIDFont+F1"/>
          <w:color w:val="000000"/>
          <w:u w:val="none"/>
        </w:rPr>
        <w:t xml:space="preserve"> </w:t>
      </w:r>
    </w:p>
    <w:p w:rsidR="000C02C3" w:rsidRDefault="002B2D9E" w:rsidP="00F37773">
      <w:pPr>
        <w:numPr>
          <w:ilvl w:val="0"/>
          <w:numId w:val="2"/>
        </w:numPr>
        <w:autoSpaceDE w:val="0"/>
        <w:autoSpaceDN w:val="0"/>
        <w:adjustRightInd w:val="0"/>
        <w:spacing w:after="160"/>
        <w:ind w:left="426" w:hanging="426"/>
        <w:jc w:val="both"/>
        <w:rPr>
          <w:rFonts w:eastAsia="CIDFont+F1"/>
          <w:color w:val="000000"/>
        </w:rPr>
      </w:pPr>
      <w:r w:rsidRPr="000C02C3">
        <w:rPr>
          <w:rFonts w:asciiTheme="majorBidi" w:hAnsiTheme="majorBidi" w:cstheme="majorBidi"/>
          <w:color w:val="05103E"/>
        </w:rPr>
        <w:t>Al-</w:t>
      </w:r>
      <w:proofErr w:type="spellStart"/>
      <w:r w:rsidRPr="000C02C3">
        <w:rPr>
          <w:rFonts w:asciiTheme="majorBidi" w:hAnsiTheme="majorBidi" w:cstheme="majorBidi"/>
          <w:color w:val="05103E"/>
        </w:rPr>
        <w:t>Khayfawee</w:t>
      </w:r>
      <w:proofErr w:type="spellEnd"/>
      <w:r w:rsidRPr="000C02C3">
        <w:rPr>
          <w:rFonts w:asciiTheme="majorBidi" w:hAnsiTheme="majorBidi" w:cstheme="majorBidi"/>
          <w:color w:val="05103E"/>
        </w:rPr>
        <w:t xml:space="preserve">, A. a. G., </w:t>
      </w:r>
      <w:proofErr w:type="spellStart"/>
      <w:r w:rsidRPr="000C02C3">
        <w:rPr>
          <w:rFonts w:asciiTheme="majorBidi" w:hAnsiTheme="majorBidi" w:cstheme="majorBidi"/>
          <w:color w:val="05103E"/>
        </w:rPr>
        <w:t>Kadhim</w:t>
      </w:r>
      <w:proofErr w:type="spellEnd"/>
      <w:r w:rsidRPr="000C02C3">
        <w:rPr>
          <w:rFonts w:asciiTheme="majorBidi" w:hAnsiTheme="majorBidi" w:cstheme="majorBidi"/>
          <w:color w:val="05103E"/>
        </w:rPr>
        <w:t>, S. A., Al-</w:t>
      </w:r>
      <w:proofErr w:type="spellStart"/>
      <w:r w:rsidRPr="000C02C3">
        <w:rPr>
          <w:rFonts w:asciiTheme="majorBidi" w:hAnsiTheme="majorBidi" w:cstheme="majorBidi"/>
          <w:color w:val="05103E"/>
        </w:rPr>
        <w:t>Quraishi</w:t>
      </w:r>
      <w:proofErr w:type="spellEnd"/>
      <w:r w:rsidRPr="000C02C3">
        <w:rPr>
          <w:rFonts w:asciiTheme="majorBidi" w:hAnsiTheme="majorBidi" w:cstheme="majorBidi"/>
          <w:color w:val="05103E"/>
        </w:rPr>
        <w:t>, N. a. J., &amp; Hussein, H. H. (2024). Comparing the concentration of radon and uranium, with the concentration of some elements in biological samples of lung cancer: A comparative study. </w:t>
      </w:r>
      <w:r w:rsidRPr="000C02C3">
        <w:rPr>
          <w:rFonts w:asciiTheme="majorBidi" w:hAnsiTheme="majorBidi" w:cstheme="majorBidi"/>
          <w:i/>
          <w:iCs/>
          <w:color w:val="05103E"/>
          <w:bdr w:val="single" w:sz="2" w:space="0" w:color="ECEDEE" w:frame="1"/>
        </w:rPr>
        <w:t>Pediatric Hematology/Oncology and Immunopathology</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23</w:t>
      </w:r>
      <w:r w:rsidRPr="000C02C3">
        <w:rPr>
          <w:rFonts w:asciiTheme="majorBidi" w:hAnsiTheme="majorBidi" w:cstheme="majorBidi"/>
          <w:color w:val="05103E"/>
        </w:rPr>
        <w:t>(3), 44–50. </w:t>
      </w:r>
      <w:hyperlink r:id="rId36" w:history="1">
        <w:r w:rsidRPr="000C02C3">
          <w:rPr>
            <w:rStyle w:val="Hyperlink"/>
            <w:rFonts w:asciiTheme="majorBidi" w:hAnsiTheme="majorBidi" w:cstheme="majorBidi"/>
            <w:bdr w:val="single" w:sz="2" w:space="0" w:color="ECEDEE" w:frame="1"/>
          </w:rPr>
          <w:t>https://doi.org/10.24287/1726-1708-2024-23-3-44-50</w:t>
        </w:r>
      </w:hyperlink>
      <w:r w:rsidR="000C02C3">
        <w:rPr>
          <w:rFonts w:eastAsia="CIDFont+F1"/>
          <w:color w:val="000000"/>
        </w:rPr>
        <w:t xml:space="preserve"> </w:t>
      </w:r>
    </w:p>
    <w:p w:rsidR="000C02C3" w:rsidRDefault="002B2D9E" w:rsidP="00F37773">
      <w:pPr>
        <w:numPr>
          <w:ilvl w:val="0"/>
          <w:numId w:val="2"/>
        </w:numPr>
        <w:autoSpaceDE w:val="0"/>
        <w:autoSpaceDN w:val="0"/>
        <w:adjustRightInd w:val="0"/>
        <w:spacing w:after="160"/>
        <w:ind w:left="426" w:hanging="426"/>
        <w:jc w:val="both"/>
        <w:rPr>
          <w:rFonts w:eastAsia="CIDFont+F1"/>
          <w:color w:val="000000"/>
        </w:rPr>
      </w:pPr>
      <w:proofErr w:type="spellStart"/>
      <w:r w:rsidRPr="000C02C3">
        <w:rPr>
          <w:rFonts w:asciiTheme="majorBidi" w:hAnsiTheme="majorBidi" w:cstheme="majorBidi"/>
          <w:color w:val="05103E"/>
        </w:rPr>
        <w:t>Aldujaily</w:t>
      </w:r>
      <w:proofErr w:type="spellEnd"/>
      <w:r w:rsidRPr="000C02C3">
        <w:rPr>
          <w:rFonts w:asciiTheme="majorBidi" w:hAnsiTheme="majorBidi" w:cstheme="majorBidi"/>
          <w:color w:val="05103E"/>
        </w:rPr>
        <w:t xml:space="preserve">, E., </w:t>
      </w:r>
      <w:proofErr w:type="spellStart"/>
      <w:r w:rsidRPr="000C02C3">
        <w:rPr>
          <w:rFonts w:asciiTheme="majorBidi" w:hAnsiTheme="majorBidi" w:cstheme="majorBidi"/>
          <w:color w:val="05103E"/>
        </w:rPr>
        <w:t>Duabil</w:t>
      </w:r>
      <w:proofErr w:type="spellEnd"/>
      <w:r w:rsidRPr="000C02C3">
        <w:rPr>
          <w:rFonts w:asciiTheme="majorBidi" w:hAnsiTheme="majorBidi" w:cstheme="majorBidi"/>
          <w:color w:val="05103E"/>
        </w:rPr>
        <w:t xml:space="preserve">, A., </w:t>
      </w:r>
      <w:proofErr w:type="spellStart"/>
      <w:r w:rsidRPr="000C02C3">
        <w:rPr>
          <w:rFonts w:asciiTheme="majorBidi" w:hAnsiTheme="majorBidi" w:cstheme="majorBidi"/>
          <w:color w:val="05103E"/>
        </w:rPr>
        <w:t>Zwain</w:t>
      </w:r>
      <w:proofErr w:type="spellEnd"/>
      <w:r w:rsidRPr="000C02C3">
        <w:rPr>
          <w:rFonts w:asciiTheme="majorBidi" w:hAnsiTheme="majorBidi" w:cstheme="majorBidi"/>
          <w:color w:val="05103E"/>
        </w:rPr>
        <w:t xml:space="preserve">, K. M. A., </w:t>
      </w:r>
      <w:proofErr w:type="spellStart"/>
      <w:r w:rsidRPr="000C02C3">
        <w:rPr>
          <w:rFonts w:asciiTheme="majorBidi" w:hAnsiTheme="majorBidi" w:cstheme="majorBidi"/>
          <w:color w:val="05103E"/>
        </w:rPr>
        <w:t>Fatlawi</w:t>
      </w:r>
      <w:proofErr w:type="spellEnd"/>
      <w:r w:rsidRPr="000C02C3">
        <w:rPr>
          <w:rFonts w:asciiTheme="majorBidi" w:hAnsiTheme="majorBidi" w:cstheme="majorBidi"/>
          <w:color w:val="05103E"/>
        </w:rPr>
        <w:t>, H. K., Al-</w:t>
      </w:r>
      <w:proofErr w:type="spellStart"/>
      <w:r w:rsidRPr="000C02C3">
        <w:rPr>
          <w:rFonts w:asciiTheme="majorBidi" w:hAnsiTheme="majorBidi" w:cstheme="majorBidi"/>
          <w:color w:val="05103E"/>
        </w:rPr>
        <w:t>Behadili</w:t>
      </w:r>
      <w:proofErr w:type="spellEnd"/>
      <w:r w:rsidRPr="000C02C3">
        <w:rPr>
          <w:rFonts w:asciiTheme="majorBidi" w:hAnsiTheme="majorBidi" w:cstheme="majorBidi"/>
          <w:color w:val="05103E"/>
        </w:rPr>
        <w:t xml:space="preserve">, A., </w:t>
      </w:r>
      <w:proofErr w:type="spellStart"/>
      <w:r w:rsidRPr="000C02C3">
        <w:rPr>
          <w:rFonts w:asciiTheme="majorBidi" w:hAnsiTheme="majorBidi" w:cstheme="majorBidi"/>
          <w:color w:val="05103E"/>
        </w:rPr>
        <w:t>Saabery</w:t>
      </w:r>
      <w:proofErr w:type="spellEnd"/>
      <w:r w:rsidRPr="000C02C3">
        <w:rPr>
          <w:rFonts w:asciiTheme="majorBidi" w:hAnsiTheme="majorBidi" w:cstheme="majorBidi"/>
          <w:color w:val="05103E"/>
        </w:rPr>
        <w:t xml:space="preserve">, E. A., </w:t>
      </w:r>
      <w:proofErr w:type="spellStart"/>
      <w:r w:rsidRPr="000C02C3">
        <w:rPr>
          <w:rFonts w:asciiTheme="majorBidi" w:hAnsiTheme="majorBidi" w:cstheme="majorBidi"/>
          <w:color w:val="05103E"/>
        </w:rPr>
        <w:t>Alwaaely</w:t>
      </w:r>
      <w:proofErr w:type="spellEnd"/>
      <w:r w:rsidRPr="000C02C3">
        <w:rPr>
          <w:rFonts w:asciiTheme="majorBidi" w:hAnsiTheme="majorBidi" w:cstheme="majorBidi"/>
          <w:color w:val="05103E"/>
        </w:rPr>
        <w:t xml:space="preserve">, Y. A., </w:t>
      </w:r>
      <w:proofErr w:type="spellStart"/>
      <w:r w:rsidRPr="000C02C3">
        <w:rPr>
          <w:rFonts w:asciiTheme="majorBidi" w:hAnsiTheme="majorBidi" w:cstheme="majorBidi"/>
          <w:color w:val="05103E"/>
        </w:rPr>
        <w:t>Joboury</w:t>
      </w:r>
      <w:proofErr w:type="spellEnd"/>
      <w:r w:rsidRPr="000C02C3">
        <w:rPr>
          <w:rFonts w:asciiTheme="majorBidi" w:hAnsiTheme="majorBidi" w:cstheme="majorBidi"/>
          <w:color w:val="05103E"/>
        </w:rPr>
        <w:t xml:space="preserve">, S. A., </w:t>
      </w:r>
      <w:proofErr w:type="spellStart"/>
      <w:r w:rsidRPr="000C02C3">
        <w:rPr>
          <w:rFonts w:asciiTheme="majorBidi" w:hAnsiTheme="majorBidi" w:cstheme="majorBidi"/>
          <w:color w:val="05103E"/>
        </w:rPr>
        <w:t>Qassid</w:t>
      </w:r>
      <w:proofErr w:type="spellEnd"/>
      <w:r w:rsidRPr="000C02C3">
        <w:rPr>
          <w:rFonts w:asciiTheme="majorBidi" w:hAnsiTheme="majorBidi" w:cstheme="majorBidi"/>
          <w:color w:val="05103E"/>
        </w:rPr>
        <w:t xml:space="preserve">, O. L., &amp; </w:t>
      </w:r>
      <w:proofErr w:type="spellStart"/>
      <w:r w:rsidRPr="000C02C3">
        <w:rPr>
          <w:rFonts w:asciiTheme="majorBidi" w:hAnsiTheme="majorBidi" w:cstheme="majorBidi"/>
          <w:color w:val="05103E"/>
        </w:rPr>
        <w:t>Kelabi</w:t>
      </w:r>
      <w:proofErr w:type="spellEnd"/>
      <w:r w:rsidRPr="000C02C3">
        <w:rPr>
          <w:rFonts w:asciiTheme="majorBidi" w:hAnsiTheme="majorBidi" w:cstheme="majorBidi"/>
          <w:color w:val="05103E"/>
        </w:rPr>
        <w:t>, L. A. (2020). Pattern and distribution of cancers in areas of Iraq exposed to Depleted Uranium. </w:t>
      </w:r>
      <w:proofErr w:type="spellStart"/>
      <w:proofErr w:type="gramStart"/>
      <w:r w:rsidRPr="000C02C3">
        <w:rPr>
          <w:rFonts w:asciiTheme="majorBidi" w:hAnsiTheme="majorBidi" w:cstheme="majorBidi"/>
          <w:i/>
          <w:iCs/>
          <w:color w:val="05103E"/>
          <w:bdr w:val="single" w:sz="2" w:space="0" w:color="ECEDEE" w:frame="1"/>
        </w:rPr>
        <w:t>medRxiv</w:t>
      </w:r>
      <w:proofErr w:type="spellEnd"/>
      <w:proofErr w:type="gramEnd"/>
      <w:r w:rsidRPr="000C02C3">
        <w:rPr>
          <w:rFonts w:asciiTheme="majorBidi" w:hAnsiTheme="majorBidi" w:cstheme="majorBidi"/>
          <w:i/>
          <w:iCs/>
          <w:color w:val="05103E"/>
          <w:bdr w:val="single" w:sz="2" w:space="0" w:color="ECEDEE" w:frame="1"/>
        </w:rPr>
        <w:t xml:space="preserve"> (Cold Spring Harbor Laboratory)</w:t>
      </w:r>
      <w:r w:rsidRPr="000C02C3">
        <w:rPr>
          <w:rFonts w:asciiTheme="majorBidi" w:hAnsiTheme="majorBidi" w:cstheme="majorBidi"/>
          <w:color w:val="05103E"/>
        </w:rPr>
        <w:t>. </w:t>
      </w:r>
      <w:hyperlink r:id="rId37" w:history="1">
        <w:r w:rsidRPr="000C02C3">
          <w:rPr>
            <w:rStyle w:val="Hyperlink"/>
            <w:rFonts w:asciiTheme="majorBidi" w:hAnsiTheme="majorBidi" w:cstheme="majorBidi"/>
            <w:bdr w:val="single" w:sz="2" w:space="0" w:color="ECEDEE" w:frame="1"/>
          </w:rPr>
          <w:t>https://doi.org/10.1101/2020.04.10.20060475</w:t>
        </w:r>
      </w:hyperlink>
      <w:r w:rsidR="000C02C3">
        <w:rPr>
          <w:rFonts w:eastAsia="CIDFont+F1"/>
          <w:color w:val="000000"/>
        </w:rPr>
        <w:t xml:space="preserve"> </w:t>
      </w:r>
    </w:p>
    <w:p w:rsidR="00A05D10" w:rsidRDefault="002B2D9E" w:rsidP="00F37773">
      <w:pPr>
        <w:numPr>
          <w:ilvl w:val="0"/>
          <w:numId w:val="2"/>
        </w:numPr>
        <w:autoSpaceDE w:val="0"/>
        <w:autoSpaceDN w:val="0"/>
        <w:adjustRightInd w:val="0"/>
        <w:spacing w:after="160"/>
        <w:ind w:left="426" w:hanging="426"/>
        <w:jc w:val="both"/>
        <w:rPr>
          <w:rFonts w:eastAsia="CIDFont+F1"/>
          <w:color w:val="000000"/>
        </w:rPr>
      </w:pPr>
      <w:r w:rsidRPr="000C02C3">
        <w:rPr>
          <w:rFonts w:asciiTheme="majorBidi" w:hAnsiTheme="majorBidi" w:cstheme="majorBidi"/>
          <w:color w:val="05103E"/>
        </w:rPr>
        <w:t xml:space="preserve">Ashish, A., </w:t>
      </w:r>
      <w:proofErr w:type="spellStart"/>
      <w:r w:rsidRPr="000C02C3">
        <w:rPr>
          <w:rFonts w:asciiTheme="majorBidi" w:hAnsiTheme="majorBidi" w:cstheme="majorBidi"/>
          <w:color w:val="05103E"/>
        </w:rPr>
        <w:t>Bangotra</w:t>
      </w:r>
      <w:proofErr w:type="spellEnd"/>
      <w:r w:rsidRPr="000C02C3">
        <w:rPr>
          <w:rFonts w:asciiTheme="majorBidi" w:hAnsiTheme="majorBidi" w:cstheme="majorBidi"/>
          <w:color w:val="05103E"/>
        </w:rPr>
        <w:t xml:space="preserve">, P., </w:t>
      </w:r>
      <w:proofErr w:type="spellStart"/>
      <w:r w:rsidRPr="000C02C3">
        <w:rPr>
          <w:rFonts w:asciiTheme="majorBidi" w:hAnsiTheme="majorBidi" w:cstheme="majorBidi"/>
          <w:color w:val="05103E"/>
        </w:rPr>
        <w:t>Dillu</w:t>
      </w:r>
      <w:proofErr w:type="spellEnd"/>
      <w:r w:rsidRPr="000C02C3">
        <w:rPr>
          <w:rFonts w:asciiTheme="majorBidi" w:hAnsiTheme="majorBidi" w:cstheme="majorBidi"/>
          <w:color w:val="05103E"/>
        </w:rPr>
        <w:t xml:space="preserve">, V., Prasad, M., Banerjee, S., </w:t>
      </w:r>
      <w:proofErr w:type="spellStart"/>
      <w:r w:rsidRPr="000C02C3">
        <w:rPr>
          <w:rFonts w:asciiTheme="majorBidi" w:hAnsiTheme="majorBidi" w:cstheme="majorBidi"/>
          <w:color w:val="05103E"/>
        </w:rPr>
        <w:t>Mehra</w:t>
      </w:r>
      <w:proofErr w:type="spellEnd"/>
      <w:r w:rsidRPr="000C02C3">
        <w:rPr>
          <w:rFonts w:asciiTheme="majorBidi" w:hAnsiTheme="majorBidi" w:cstheme="majorBidi"/>
          <w:color w:val="05103E"/>
        </w:rPr>
        <w:t>, R., &amp; Singh, N. L. (2024). Human exposure to uranium through drinking water and its detrimental impact on the human body organs. </w:t>
      </w:r>
      <w:r w:rsidRPr="000C02C3">
        <w:rPr>
          <w:rFonts w:asciiTheme="majorBidi" w:hAnsiTheme="majorBidi" w:cstheme="majorBidi"/>
          <w:i/>
          <w:iCs/>
          <w:color w:val="05103E"/>
          <w:bdr w:val="single" w:sz="2" w:space="0" w:color="ECEDEE" w:frame="1"/>
        </w:rPr>
        <w:t>Environmental Geochemistry and Health</w:t>
      </w:r>
      <w:r w:rsidRPr="000C02C3">
        <w:rPr>
          <w:rFonts w:asciiTheme="majorBidi" w:hAnsiTheme="majorBidi" w:cstheme="majorBidi"/>
          <w:color w:val="05103E"/>
        </w:rPr>
        <w:t>, </w:t>
      </w:r>
      <w:r w:rsidRPr="000C02C3">
        <w:rPr>
          <w:rFonts w:asciiTheme="majorBidi" w:hAnsiTheme="majorBidi" w:cstheme="majorBidi"/>
          <w:i/>
          <w:iCs/>
          <w:color w:val="05103E"/>
          <w:bdr w:val="single" w:sz="2" w:space="0" w:color="ECEDEE" w:frame="1"/>
        </w:rPr>
        <w:t>46</w:t>
      </w:r>
      <w:r w:rsidRPr="000C02C3">
        <w:rPr>
          <w:rFonts w:asciiTheme="majorBidi" w:hAnsiTheme="majorBidi" w:cstheme="majorBidi"/>
          <w:color w:val="05103E"/>
        </w:rPr>
        <w:t>(10). </w:t>
      </w:r>
      <w:hyperlink r:id="rId38" w:history="1">
        <w:r w:rsidRPr="000C02C3">
          <w:rPr>
            <w:rStyle w:val="Hyperlink"/>
            <w:rFonts w:asciiTheme="majorBidi" w:hAnsiTheme="majorBidi" w:cstheme="majorBidi"/>
            <w:bdr w:val="single" w:sz="2" w:space="0" w:color="ECEDEE" w:frame="1"/>
          </w:rPr>
          <w:t>https://doi.org/10.1007/s10653-024-02150-9</w:t>
        </w:r>
      </w:hyperlink>
      <w:r w:rsidR="00A05D10">
        <w:rPr>
          <w:rFonts w:eastAsia="CIDFont+F1"/>
          <w:color w:val="000000"/>
        </w:rPr>
        <w:t xml:space="preserve"> </w:t>
      </w:r>
    </w:p>
    <w:p w:rsidR="00A05D10" w:rsidRPr="00A05D10" w:rsidRDefault="002B2D9E" w:rsidP="00F37773">
      <w:pPr>
        <w:numPr>
          <w:ilvl w:val="0"/>
          <w:numId w:val="2"/>
        </w:numPr>
        <w:autoSpaceDE w:val="0"/>
        <w:autoSpaceDN w:val="0"/>
        <w:adjustRightInd w:val="0"/>
        <w:spacing w:after="160"/>
        <w:ind w:left="426" w:hanging="426"/>
        <w:jc w:val="both"/>
        <w:rPr>
          <w:rStyle w:val="Hyperlink"/>
          <w:rFonts w:eastAsia="CIDFont+F1"/>
          <w:color w:val="000000"/>
          <w:u w:val="none"/>
        </w:rPr>
      </w:pPr>
      <w:r w:rsidRPr="00A05D10">
        <w:rPr>
          <w:color w:val="05103E"/>
        </w:rPr>
        <w:t xml:space="preserve">Wang, S., Ran, Y., Lu, B., Li, J., </w:t>
      </w:r>
      <w:proofErr w:type="spellStart"/>
      <w:r w:rsidRPr="00A05D10">
        <w:rPr>
          <w:color w:val="05103E"/>
        </w:rPr>
        <w:t>Kuang</w:t>
      </w:r>
      <w:proofErr w:type="spellEnd"/>
      <w:r w:rsidRPr="00A05D10">
        <w:rPr>
          <w:color w:val="05103E"/>
        </w:rPr>
        <w:t xml:space="preserve">, H., Gong, L., &amp; </w:t>
      </w:r>
      <w:proofErr w:type="spellStart"/>
      <w:r w:rsidRPr="00A05D10">
        <w:rPr>
          <w:color w:val="05103E"/>
        </w:rPr>
        <w:t>Hao</w:t>
      </w:r>
      <w:proofErr w:type="spellEnd"/>
      <w:r w:rsidRPr="00A05D10">
        <w:rPr>
          <w:color w:val="05103E"/>
        </w:rPr>
        <w:t>, Y. (2019). A review of Uranium-Induced Reproductive Toxicity. </w:t>
      </w:r>
      <w:r w:rsidRPr="00A05D10">
        <w:rPr>
          <w:i/>
          <w:iCs/>
          <w:color w:val="05103E"/>
          <w:bdr w:val="single" w:sz="2" w:space="0" w:color="ECEDEE" w:frame="1"/>
        </w:rPr>
        <w:t>Biological Trace Element Research</w:t>
      </w:r>
      <w:r w:rsidRPr="00A05D10">
        <w:rPr>
          <w:color w:val="05103E"/>
        </w:rPr>
        <w:t>, </w:t>
      </w:r>
      <w:r w:rsidRPr="00A05D10">
        <w:rPr>
          <w:i/>
          <w:iCs/>
          <w:color w:val="05103E"/>
          <w:bdr w:val="single" w:sz="2" w:space="0" w:color="ECEDEE" w:frame="1"/>
        </w:rPr>
        <w:t>196</w:t>
      </w:r>
      <w:r w:rsidRPr="00A05D10">
        <w:rPr>
          <w:color w:val="05103E"/>
        </w:rPr>
        <w:t>(1), 204–213. </w:t>
      </w:r>
      <w:hyperlink r:id="rId39" w:history="1">
        <w:r w:rsidRPr="00A05D10">
          <w:rPr>
            <w:rStyle w:val="Hyperlink"/>
            <w:bdr w:val="single" w:sz="2" w:space="0" w:color="ECEDEE" w:frame="1"/>
          </w:rPr>
          <w:t>https://doi.org/10.1007/s12011-019-01920-2</w:t>
        </w:r>
      </w:hyperlink>
      <w:r w:rsidR="00A05D10">
        <w:rPr>
          <w:rStyle w:val="Hyperlink"/>
          <w:bdr w:val="single" w:sz="2" w:space="0" w:color="ECEDEE" w:frame="1"/>
        </w:rPr>
        <w:t xml:space="preserve"> </w:t>
      </w:r>
    </w:p>
    <w:p w:rsidR="00A05D10" w:rsidRDefault="002B2D9E" w:rsidP="00F37773">
      <w:pPr>
        <w:numPr>
          <w:ilvl w:val="0"/>
          <w:numId w:val="2"/>
        </w:numPr>
        <w:autoSpaceDE w:val="0"/>
        <w:autoSpaceDN w:val="0"/>
        <w:adjustRightInd w:val="0"/>
        <w:spacing w:after="160"/>
        <w:ind w:left="426" w:hanging="426"/>
        <w:jc w:val="both"/>
        <w:rPr>
          <w:rFonts w:eastAsia="CIDFont+F1"/>
          <w:color w:val="000000"/>
        </w:rPr>
      </w:pPr>
      <w:r w:rsidRPr="00A05D10">
        <w:rPr>
          <w:rFonts w:asciiTheme="majorBidi" w:hAnsiTheme="majorBidi" w:cstheme="majorBidi"/>
          <w:color w:val="05103E"/>
        </w:rPr>
        <w:t xml:space="preserve">Henderson, P. (1978). (R. L.) Fleischer, (P. B.) </w:t>
      </w:r>
      <w:proofErr w:type="gramStart"/>
      <w:r w:rsidRPr="00A05D10">
        <w:rPr>
          <w:rFonts w:asciiTheme="majorBidi" w:hAnsiTheme="majorBidi" w:cstheme="majorBidi"/>
          <w:color w:val="05103E"/>
        </w:rPr>
        <w:t>Price,</w:t>
      </w:r>
      <w:proofErr w:type="gramEnd"/>
      <w:r w:rsidRPr="00A05D10">
        <w:rPr>
          <w:rFonts w:asciiTheme="majorBidi" w:hAnsiTheme="majorBidi" w:cstheme="majorBidi"/>
          <w:color w:val="05103E"/>
        </w:rPr>
        <w:t xml:space="preserve"> and (R. M.) Walker. Nuclear Tracks in Solids: Principles and Applications. Berkeley and London (Univ. California Press), 1975. </w:t>
      </w:r>
      <w:proofErr w:type="gramStart"/>
      <w:r w:rsidRPr="00A05D10">
        <w:rPr>
          <w:rFonts w:asciiTheme="majorBidi" w:hAnsiTheme="majorBidi" w:cstheme="majorBidi"/>
          <w:color w:val="05103E"/>
        </w:rPr>
        <w:t>xxii+</w:t>
      </w:r>
      <w:proofErr w:type="gramEnd"/>
      <w:r w:rsidRPr="00A05D10">
        <w:rPr>
          <w:rFonts w:asciiTheme="majorBidi" w:hAnsiTheme="majorBidi" w:cstheme="majorBidi"/>
          <w:color w:val="05103E"/>
        </w:rPr>
        <w:t>605 pp., 205 figs., I pl. Price. </w:t>
      </w:r>
      <w:r w:rsidRPr="00A05D10">
        <w:rPr>
          <w:rFonts w:asciiTheme="majorBidi" w:hAnsiTheme="majorBidi" w:cstheme="majorBidi"/>
          <w:i/>
          <w:iCs/>
          <w:color w:val="05103E"/>
          <w:bdr w:val="single" w:sz="2" w:space="0" w:color="ECEDEE" w:frame="1"/>
        </w:rPr>
        <w:t>Mineralogical Magazine</w:t>
      </w:r>
      <w:r w:rsidRPr="00A05D10">
        <w:rPr>
          <w:rFonts w:asciiTheme="majorBidi" w:hAnsiTheme="majorBidi" w:cstheme="majorBidi"/>
          <w:color w:val="05103E"/>
        </w:rPr>
        <w:t>, </w:t>
      </w:r>
      <w:r w:rsidRPr="00A05D10">
        <w:rPr>
          <w:rFonts w:asciiTheme="majorBidi" w:hAnsiTheme="majorBidi" w:cstheme="majorBidi"/>
          <w:i/>
          <w:iCs/>
          <w:color w:val="05103E"/>
          <w:bdr w:val="single" w:sz="2" w:space="0" w:color="ECEDEE" w:frame="1"/>
        </w:rPr>
        <w:t>42</w:t>
      </w:r>
      <w:r w:rsidRPr="00A05D10">
        <w:rPr>
          <w:rFonts w:asciiTheme="majorBidi" w:hAnsiTheme="majorBidi" w:cstheme="majorBidi"/>
          <w:color w:val="05103E"/>
        </w:rPr>
        <w:t>(322), 306–307. </w:t>
      </w:r>
      <w:hyperlink r:id="rId40" w:history="1">
        <w:r w:rsidRPr="00A05D10">
          <w:rPr>
            <w:rStyle w:val="Hyperlink"/>
            <w:rFonts w:asciiTheme="majorBidi" w:hAnsiTheme="majorBidi" w:cstheme="majorBidi"/>
            <w:bdr w:val="single" w:sz="2" w:space="0" w:color="ECEDEE" w:frame="1"/>
          </w:rPr>
          <w:t>https://doi.org/10.1180/minmag.1978.042.322.40</w:t>
        </w:r>
      </w:hyperlink>
      <w:r w:rsidR="00A05D10">
        <w:rPr>
          <w:rFonts w:eastAsia="CIDFont+F1"/>
          <w:color w:val="000000"/>
        </w:rPr>
        <w:t xml:space="preserve"> </w:t>
      </w:r>
    </w:p>
    <w:p w:rsidR="00A05D10" w:rsidRDefault="002B2D9E" w:rsidP="00F37773">
      <w:pPr>
        <w:numPr>
          <w:ilvl w:val="0"/>
          <w:numId w:val="2"/>
        </w:numPr>
        <w:autoSpaceDE w:val="0"/>
        <w:autoSpaceDN w:val="0"/>
        <w:adjustRightInd w:val="0"/>
        <w:spacing w:after="160"/>
        <w:ind w:left="426" w:hanging="426"/>
        <w:jc w:val="both"/>
        <w:rPr>
          <w:rStyle w:val="url"/>
          <w:rFonts w:eastAsia="CIDFont+F1"/>
          <w:color w:val="000000"/>
        </w:rPr>
      </w:pPr>
      <w:proofErr w:type="spellStart"/>
      <w:r w:rsidRPr="00A05D10">
        <w:rPr>
          <w:rFonts w:asciiTheme="majorBidi" w:hAnsiTheme="majorBidi" w:cstheme="majorBidi"/>
          <w:color w:val="05103E"/>
        </w:rPr>
        <w:t>Arnalds</w:t>
      </w:r>
      <w:proofErr w:type="spellEnd"/>
      <w:r w:rsidRPr="00A05D10">
        <w:rPr>
          <w:rFonts w:asciiTheme="majorBidi" w:hAnsiTheme="majorBidi" w:cstheme="majorBidi"/>
          <w:color w:val="05103E"/>
        </w:rPr>
        <w:t xml:space="preserve">, O., </w:t>
      </w:r>
      <w:proofErr w:type="spellStart"/>
      <w:r w:rsidRPr="00A05D10">
        <w:rPr>
          <w:rFonts w:asciiTheme="majorBidi" w:hAnsiTheme="majorBidi" w:cstheme="majorBidi"/>
          <w:color w:val="05103E"/>
        </w:rPr>
        <w:t>Cutshall</w:t>
      </w:r>
      <w:proofErr w:type="spellEnd"/>
      <w:r w:rsidRPr="00A05D10">
        <w:rPr>
          <w:rFonts w:asciiTheme="majorBidi" w:hAnsiTheme="majorBidi" w:cstheme="majorBidi"/>
          <w:color w:val="05103E"/>
        </w:rPr>
        <w:t>, N. H., &amp; Nielsen, G. A. (1989). Cesium-137 in Montana soils. </w:t>
      </w:r>
      <w:r w:rsidRPr="00A05D10">
        <w:rPr>
          <w:rFonts w:asciiTheme="majorBidi" w:hAnsiTheme="majorBidi" w:cstheme="majorBidi"/>
          <w:i/>
          <w:iCs/>
          <w:color w:val="05103E"/>
          <w:bdr w:val="single" w:sz="2" w:space="0" w:color="ECEDEE" w:frame="1"/>
        </w:rPr>
        <w:t>Health Physics</w:t>
      </w:r>
      <w:r w:rsidRPr="00A05D10">
        <w:rPr>
          <w:rFonts w:asciiTheme="majorBidi" w:hAnsiTheme="majorBidi" w:cstheme="majorBidi"/>
          <w:color w:val="05103E"/>
        </w:rPr>
        <w:t>, </w:t>
      </w:r>
      <w:r w:rsidRPr="00A05D10">
        <w:rPr>
          <w:rFonts w:asciiTheme="majorBidi" w:hAnsiTheme="majorBidi" w:cstheme="majorBidi"/>
          <w:i/>
          <w:iCs/>
          <w:color w:val="05103E"/>
          <w:bdr w:val="single" w:sz="2" w:space="0" w:color="ECEDEE" w:frame="1"/>
        </w:rPr>
        <w:t>57</w:t>
      </w:r>
      <w:r w:rsidRPr="00A05D10">
        <w:rPr>
          <w:rFonts w:asciiTheme="majorBidi" w:hAnsiTheme="majorBidi" w:cstheme="majorBidi"/>
          <w:color w:val="05103E"/>
        </w:rPr>
        <w:t>(6), 955–958. </w:t>
      </w:r>
      <w:hyperlink r:id="rId41" w:history="1">
        <w:r w:rsidRPr="00A05D10">
          <w:rPr>
            <w:rStyle w:val="Hyperlink"/>
            <w:rFonts w:asciiTheme="majorBidi" w:hAnsiTheme="majorBidi" w:cstheme="majorBidi"/>
            <w:bdr w:val="single" w:sz="2" w:space="0" w:color="ECEDEE" w:frame="1"/>
          </w:rPr>
          <w:t>https://doi.org/10.1097/00004032-198912000-00010</w:t>
        </w:r>
      </w:hyperlink>
      <w:r w:rsidR="00A05D10">
        <w:rPr>
          <w:rStyle w:val="url"/>
          <w:rFonts w:eastAsia="CIDFont+F1"/>
          <w:color w:val="000000"/>
        </w:rPr>
        <w:t xml:space="preserve"> </w:t>
      </w:r>
    </w:p>
    <w:p w:rsidR="00A05D10" w:rsidRDefault="002B2D9E" w:rsidP="00F37773">
      <w:pPr>
        <w:numPr>
          <w:ilvl w:val="0"/>
          <w:numId w:val="2"/>
        </w:numPr>
        <w:autoSpaceDE w:val="0"/>
        <w:autoSpaceDN w:val="0"/>
        <w:adjustRightInd w:val="0"/>
        <w:spacing w:after="160"/>
        <w:ind w:left="426" w:hanging="426"/>
        <w:jc w:val="both"/>
        <w:rPr>
          <w:rFonts w:eastAsia="CIDFont+F1"/>
          <w:color w:val="000000"/>
        </w:rPr>
      </w:pPr>
      <w:r w:rsidRPr="002B2D9E">
        <w:t>Fleischer, R. L., Price, P. B., &amp; Walker, R. M. (2024). </w:t>
      </w:r>
      <w:r w:rsidRPr="00A05D10">
        <w:rPr>
          <w:i/>
          <w:iCs/>
          <w:bdr w:val="single" w:sz="2" w:space="0" w:color="ECEDEE" w:frame="1"/>
        </w:rPr>
        <w:t>Nuclear tracks in solids</w:t>
      </w:r>
      <w:r w:rsidRPr="002B2D9E">
        <w:t>. </w:t>
      </w:r>
      <w:hyperlink r:id="rId42" w:history="1">
        <w:r w:rsidRPr="002B2D9E">
          <w:rPr>
            <w:rStyle w:val="Hyperlink"/>
          </w:rPr>
          <w:t>https://doi.org/10.2307/jj.13167934</w:t>
        </w:r>
      </w:hyperlink>
      <w:r w:rsidR="00A05D10">
        <w:rPr>
          <w:rFonts w:eastAsia="CIDFont+F1"/>
          <w:color w:val="000000"/>
        </w:rPr>
        <w:t xml:space="preserve"> </w:t>
      </w:r>
    </w:p>
    <w:p w:rsidR="00A05D10" w:rsidRDefault="002B2D9E" w:rsidP="00F37773">
      <w:pPr>
        <w:numPr>
          <w:ilvl w:val="0"/>
          <w:numId w:val="2"/>
        </w:numPr>
        <w:autoSpaceDE w:val="0"/>
        <w:autoSpaceDN w:val="0"/>
        <w:adjustRightInd w:val="0"/>
        <w:spacing w:after="160"/>
        <w:ind w:left="426" w:hanging="426"/>
        <w:jc w:val="both"/>
        <w:rPr>
          <w:rFonts w:eastAsia="CIDFont+F1"/>
          <w:color w:val="000000"/>
        </w:rPr>
      </w:pPr>
      <w:r w:rsidRPr="00A05D10">
        <w:rPr>
          <w:rFonts w:asciiTheme="majorBidi" w:hAnsiTheme="majorBidi" w:cstheme="majorBidi"/>
          <w:color w:val="222222"/>
          <w:shd w:val="clear" w:color="auto" w:fill="FFFFFF"/>
        </w:rPr>
        <w:t xml:space="preserve">Salim, M. D., </w:t>
      </w:r>
      <w:proofErr w:type="spellStart"/>
      <w:r w:rsidRPr="00A05D10">
        <w:rPr>
          <w:rFonts w:asciiTheme="majorBidi" w:hAnsiTheme="majorBidi" w:cstheme="majorBidi"/>
          <w:color w:val="222222"/>
          <w:shd w:val="clear" w:color="auto" w:fill="FFFFFF"/>
        </w:rPr>
        <w:t>Ridha</w:t>
      </w:r>
      <w:proofErr w:type="spellEnd"/>
      <w:r w:rsidRPr="00A05D10">
        <w:rPr>
          <w:rFonts w:asciiTheme="majorBidi" w:hAnsiTheme="majorBidi" w:cstheme="majorBidi"/>
          <w:color w:val="222222"/>
          <w:shd w:val="clear" w:color="auto" w:fill="FFFFFF"/>
        </w:rPr>
        <w:t xml:space="preserve">, A. A., </w:t>
      </w:r>
      <w:proofErr w:type="spellStart"/>
      <w:r w:rsidRPr="00A05D10">
        <w:rPr>
          <w:rFonts w:asciiTheme="majorBidi" w:hAnsiTheme="majorBidi" w:cstheme="majorBidi"/>
          <w:color w:val="222222"/>
          <w:shd w:val="clear" w:color="auto" w:fill="FFFFFF"/>
        </w:rPr>
        <w:t>Kadhim</w:t>
      </w:r>
      <w:proofErr w:type="spellEnd"/>
      <w:r w:rsidRPr="00A05D10">
        <w:rPr>
          <w:rFonts w:asciiTheme="majorBidi" w:hAnsiTheme="majorBidi" w:cstheme="majorBidi"/>
          <w:color w:val="222222"/>
          <w:shd w:val="clear" w:color="auto" w:fill="FFFFFF"/>
        </w:rPr>
        <w:t>, N. F., &amp; El-</w:t>
      </w:r>
      <w:proofErr w:type="spellStart"/>
      <w:r w:rsidRPr="00A05D10">
        <w:rPr>
          <w:rFonts w:asciiTheme="majorBidi" w:hAnsiTheme="majorBidi" w:cstheme="majorBidi"/>
          <w:color w:val="222222"/>
          <w:shd w:val="clear" w:color="auto" w:fill="FFFFFF"/>
        </w:rPr>
        <w:t>Taher</w:t>
      </w:r>
      <w:proofErr w:type="spellEnd"/>
      <w:r w:rsidRPr="00A05D10">
        <w:rPr>
          <w:rFonts w:asciiTheme="majorBidi" w:hAnsiTheme="majorBidi" w:cstheme="majorBidi"/>
          <w:color w:val="222222"/>
          <w:shd w:val="clear" w:color="auto" w:fill="FFFFFF"/>
        </w:rPr>
        <w:t>, A. (2020). Effects of changing the exposure time of CR-39 detector to alpha particles on etching conditions. </w:t>
      </w:r>
      <w:r w:rsidRPr="00A05D10">
        <w:rPr>
          <w:rFonts w:asciiTheme="majorBidi" w:hAnsiTheme="majorBidi" w:cstheme="majorBidi"/>
          <w:i/>
          <w:iCs/>
          <w:color w:val="222222"/>
          <w:shd w:val="clear" w:color="auto" w:fill="FFFFFF"/>
        </w:rPr>
        <w:t xml:space="preserve">J. Rad. </w:t>
      </w:r>
      <w:proofErr w:type="spellStart"/>
      <w:r w:rsidRPr="00A05D10">
        <w:rPr>
          <w:rFonts w:asciiTheme="majorBidi" w:hAnsiTheme="majorBidi" w:cstheme="majorBidi"/>
          <w:i/>
          <w:iCs/>
          <w:color w:val="222222"/>
          <w:shd w:val="clear" w:color="auto" w:fill="FFFFFF"/>
        </w:rPr>
        <w:t>Nucl</w:t>
      </w:r>
      <w:proofErr w:type="spellEnd"/>
      <w:r w:rsidRPr="00A05D10">
        <w:rPr>
          <w:rFonts w:asciiTheme="majorBidi" w:hAnsiTheme="majorBidi" w:cstheme="majorBidi"/>
          <w:i/>
          <w:iCs/>
          <w:color w:val="222222"/>
          <w:shd w:val="clear" w:color="auto" w:fill="FFFFFF"/>
        </w:rPr>
        <w:t xml:space="preserve">. </w:t>
      </w:r>
      <w:proofErr w:type="spellStart"/>
      <w:r w:rsidRPr="00A05D10">
        <w:rPr>
          <w:rFonts w:asciiTheme="majorBidi" w:hAnsiTheme="majorBidi" w:cstheme="majorBidi"/>
          <w:i/>
          <w:iCs/>
          <w:color w:val="222222"/>
          <w:shd w:val="clear" w:color="auto" w:fill="FFFFFF"/>
        </w:rPr>
        <w:t>Appl</w:t>
      </w:r>
      <w:proofErr w:type="spellEnd"/>
      <w:r w:rsidRPr="00A05D10">
        <w:rPr>
          <w:rFonts w:asciiTheme="majorBidi" w:hAnsiTheme="majorBidi" w:cstheme="majorBidi"/>
          <w:color w:val="222222"/>
          <w:shd w:val="clear" w:color="auto" w:fill="FFFFFF"/>
        </w:rPr>
        <w:t>, </w:t>
      </w:r>
      <w:r w:rsidRPr="00A05D10">
        <w:rPr>
          <w:rFonts w:asciiTheme="majorBidi" w:hAnsiTheme="majorBidi" w:cstheme="majorBidi"/>
          <w:i/>
          <w:iCs/>
          <w:color w:val="222222"/>
          <w:shd w:val="clear" w:color="auto" w:fill="FFFFFF"/>
        </w:rPr>
        <w:t>5</w:t>
      </w:r>
      <w:r w:rsidRPr="00A05D10">
        <w:rPr>
          <w:rFonts w:asciiTheme="majorBidi" w:hAnsiTheme="majorBidi" w:cstheme="majorBidi"/>
          <w:color w:val="222222"/>
          <w:shd w:val="clear" w:color="auto" w:fill="FFFFFF"/>
        </w:rPr>
        <w:t>(2), 119-125.</w:t>
      </w:r>
      <w:r w:rsidRPr="00A05D10">
        <w:rPr>
          <w:color w:val="05103E"/>
        </w:rPr>
        <w:t xml:space="preserve"> </w:t>
      </w:r>
      <w:hyperlink r:id="rId43" w:history="1">
        <w:r w:rsidRPr="002B2D9E">
          <w:rPr>
            <w:rStyle w:val="Hyperlink"/>
          </w:rPr>
          <w:t>https://doi.org/10.18576/jrna/050206</w:t>
        </w:r>
      </w:hyperlink>
      <w:r w:rsidR="00A05D10">
        <w:rPr>
          <w:rFonts w:eastAsia="CIDFont+F1"/>
          <w:color w:val="000000"/>
        </w:rPr>
        <w:t xml:space="preserve"> </w:t>
      </w:r>
    </w:p>
    <w:p w:rsidR="00A05D10" w:rsidRDefault="00EA1941" w:rsidP="00F37773">
      <w:pPr>
        <w:numPr>
          <w:ilvl w:val="0"/>
          <w:numId w:val="2"/>
        </w:numPr>
        <w:autoSpaceDE w:val="0"/>
        <w:autoSpaceDN w:val="0"/>
        <w:adjustRightInd w:val="0"/>
        <w:spacing w:after="160"/>
        <w:ind w:left="426" w:hanging="426"/>
        <w:jc w:val="both"/>
        <w:rPr>
          <w:rFonts w:eastAsia="CIDFont+F1"/>
          <w:color w:val="000000"/>
        </w:rPr>
      </w:pPr>
      <w:proofErr w:type="spellStart"/>
      <w:r w:rsidRPr="00A05D10">
        <w:rPr>
          <w:rFonts w:asciiTheme="majorBidi" w:hAnsiTheme="majorBidi" w:cstheme="majorBidi"/>
          <w:color w:val="222222"/>
          <w:shd w:val="clear" w:color="auto" w:fill="FFFFFF"/>
        </w:rPr>
        <w:t>Basiri</w:t>
      </w:r>
      <w:proofErr w:type="spellEnd"/>
      <w:r w:rsidRPr="00A05D10">
        <w:rPr>
          <w:rFonts w:asciiTheme="majorBidi" w:hAnsiTheme="majorBidi" w:cstheme="majorBidi"/>
          <w:color w:val="222222"/>
          <w:shd w:val="clear" w:color="auto" w:fill="FFFFFF"/>
        </w:rPr>
        <w:t xml:space="preserve">, H., &amp; </w:t>
      </w:r>
      <w:proofErr w:type="spellStart"/>
      <w:r w:rsidRPr="00A05D10">
        <w:rPr>
          <w:rFonts w:asciiTheme="majorBidi" w:hAnsiTheme="majorBidi" w:cstheme="majorBidi"/>
          <w:color w:val="222222"/>
          <w:shd w:val="clear" w:color="auto" w:fill="FFFFFF"/>
        </w:rPr>
        <w:t>Tavakoli-Anbaran</w:t>
      </w:r>
      <w:proofErr w:type="spellEnd"/>
      <w:r w:rsidRPr="00A05D10">
        <w:rPr>
          <w:rFonts w:asciiTheme="majorBidi" w:hAnsiTheme="majorBidi" w:cstheme="majorBidi"/>
          <w:color w:val="222222"/>
          <w:shd w:val="clear" w:color="auto" w:fill="FFFFFF"/>
        </w:rPr>
        <w:t>, H. (2018). Investigation of some possible changes in Am-Be neutron source configuration in order to increase the thermal neutron flux using Monte Carlo code. In </w:t>
      </w:r>
      <w:r w:rsidRPr="00A05D10">
        <w:rPr>
          <w:rFonts w:asciiTheme="majorBidi" w:hAnsiTheme="majorBidi" w:cstheme="majorBidi"/>
          <w:i/>
          <w:iCs/>
          <w:color w:val="222222"/>
          <w:shd w:val="clear" w:color="auto" w:fill="FFFFFF"/>
        </w:rPr>
        <w:t>Journal of Physics: Conference Series</w:t>
      </w:r>
      <w:r w:rsidRPr="00A05D10">
        <w:rPr>
          <w:rFonts w:asciiTheme="majorBidi" w:hAnsiTheme="majorBidi" w:cstheme="majorBidi"/>
          <w:color w:val="222222"/>
          <w:shd w:val="clear" w:color="auto" w:fill="FFFFFF"/>
        </w:rPr>
        <w:t xml:space="preserve"> (Vol. 956, No. 1, p. 012010). IOP Publishing. </w:t>
      </w:r>
      <w:hyperlink r:id="rId44" w:history="1">
        <w:r w:rsidRPr="00A05D10">
          <w:rPr>
            <w:rStyle w:val="Hyperlink"/>
            <w:rFonts w:asciiTheme="majorBidi" w:hAnsiTheme="majorBidi" w:cstheme="majorBidi"/>
            <w:shd w:val="clear" w:color="auto" w:fill="FFFFFF"/>
          </w:rPr>
          <w:t>https://doi.org/</w:t>
        </w:r>
        <w:r w:rsidRPr="00A05D10">
          <w:rPr>
            <w:rStyle w:val="Hyperlink"/>
            <w:rFonts w:ascii="Segoe UI" w:hAnsi="Segoe UI" w:cs="Segoe UI"/>
          </w:rPr>
          <w:t>10.1088/1742-6596/956/1/012010</w:t>
        </w:r>
      </w:hyperlink>
      <w:r w:rsidR="00A05D10">
        <w:rPr>
          <w:rFonts w:eastAsia="CIDFont+F1"/>
          <w:color w:val="000000"/>
        </w:rPr>
        <w:t xml:space="preserve"> </w:t>
      </w:r>
    </w:p>
    <w:p w:rsidR="00A05D10" w:rsidRDefault="00EA1941" w:rsidP="00F37773">
      <w:pPr>
        <w:numPr>
          <w:ilvl w:val="0"/>
          <w:numId w:val="2"/>
        </w:numPr>
        <w:autoSpaceDE w:val="0"/>
        <w:autoSpaceDN w:val="0"/>
        <w:adjustRightInd w:val="0"/>
        <w:spacing w:after="160"/>
        <w:ind w:left="426" w:hanging="426"/>
        <w:jc w:val="both"/>
        <w:rPr>
          <w:rFonts w:eastAsia="CIDFont+F1"/>
          <w:color w:val="000000"/>
        </w:rPr>
      </w:pPr>
      <w:proofErr w:type="spellStart"/>
      <w:r w:rsidRPr="00A05D10">
        <w:rPr>
          <w:rFonts w:asciiTheme="majorBidi" w:hAnsiTheme="majorBidi" w:cstheme="majorBidi"/>
          <w:color w:val="05103E"/>
        </w:rPr>
        <w:t>Tawfiq</w:t>
      </w:r>
      <w:proofErr w:type="spellEnd"/>
      <w:r w:rsidRPr="00A05D10">
        <w:rPr>
          <w:rFonts w:asciiTheme="majorBidi" w:hAnsiTheme="majorBidi" w:cstheme="majorBidi"/>
          <w:color w:val="05103E"/>
        </w:rPr>
        <w:t>, N. F., Ali, L. T., &amp; Al-</w:t>
      </w:r>
      <w:proofErr w:type="spellStart"/>
      <w:r w:rsidRPr="00A05D10">
        <w:rPr>
          <w:rFonts w:asciiTheme="majorBidi" w:hAnsiTheme="majorBidi" w:cstheme="majorBidi"/>
          <w:color w:val="05103E"/>
        </w:rPr>
        <w:t>Jobouri</w:t>
      </w:r>
      <w:proofErr w:type="spellEnd"/>
      <w:r w:rsidRPr="00A05D10">
        <w:rPr>
          <w:rFonts w:asciiTheme="majorBidi" w:hAnsiTheme="majorBidi" w:cstheme="majorBidi"/>
          <w:color w:val="05103E"/>
        </w:rPr>
        <w:t>, H. A. (2012). Uranium concentration measurements in human blood for some governorates in Iraq using CR-39 track detector. </w:t>
      </w:r>
      <w:r w:rsidRPr="00A05D10">
        <w:rPr>
          <w:rFonts w:asciiTheme="majorBidi" w:hAnsiTheme="majorBidi" w:cstheme="majorBidi"/>
          <w:i/>
          <w:iCs/>
          <w:color w:val="05103E"/>
          <w:bdr w:val="single" w:sz="2" w:space="0" w:color="ECEDEE" w:frame="1"/>
        </w:rPr>
        <w:t xml:space="preserve">Journal of </w:t>
      </w:r>
      <w:proofErr w:type="spellStart"/>
      <w:r w:rsidRPr="00A05D10">
        <w:rPr>
          <w:rFonts w:asciiTheme="majorBidi" w:hAnsiTheme="majorBidi" w:cstheme="majorBidi"/>
          <w:i/>
          <w:iCs/>
          <w:color w:val="05103E"/>
          <w:bdr w:val="single" w:sz="2" w:space="0" w:color="ECEDEE" w:frame="1"/>
        </w:rPr>
        <w:t>Radioanalytical</w:t>
      </w:r>
      <w:proofErr w:type="spellEnd"/>
      <w:r w:rsidRPr="00A05D10">
        <w:rPr>
          <w:rFonts w:asciiTheme="majorBidi" w:hAnsiTheme="majorBidi" w:cstheme="majorBidi"/>
          <w:i/>
          <w:iCs/>
          <w:color w:val="05103E"/>
          <w:bdr w:val="single" w:sz="2" w:space="0" w:color="ECEDEE" w:frame="1"/>
        </w:rPr>
        <w:t xml:space="preserve"> and Nuclear Chemistry</w:t>
      </w:r>
      <w:r w:rsidRPr="00A05D10">
        <w:rPr>
          <w:rFonts w:asciiTheme="majorBidi" w:hAnsiTheme="majorBidi" w:cstheme="majorBidi"/>
          <w:color w:val="05103E"/>
        </w:rPr>
        <w:t>, </w:t>
      </w:r>
      <w:r w:rsidRPr="00A05D10">
        <w:rPr>
          <w:rFonts w:asciiTheme="majorBidi" w:hAnsiTheme="majorBidi" w:cstheme="majorBidi"/>
          <w:i/>
          <w:iCs/>
          <w:color w:val="05103E"/>
          <w:bdr w:val="single" w:sz="2" w:space="0" w:color="ECEDEE" w:frame="1"/>
        </w:rPr>
        <w:t>295</w:t>
      </w:r>
      <w:r w:rsidRPr="00A05D10">
        <w:rPr>
          <w:rFonts w:asciiTheme="majorBidi" w:hAnsiTheme="majorBidi" w:cstheme="majorBidi"/>
          <w:color w:val="05103E"/>
        </w:rPr>
        <w:t xml:space="preserve">(1), 671–674.  </w:t>
      </w:r>
      <w:hyperlink r:id="rId45" w:history="1">
        <w:r w:rsidRPr="00A05D10">
          <w:rPr>
            <w:rStyle w:val="Hyperlink"/>
            <w:rFonts w:asciiTheme="majorBidi" w:hAnsiTheme="majorBidi" w:cstheme="majorBidi"/>
            <w:bdr w:val="single" w:sz="2" w:space="0" w:color="ECEDEE" w:frame="1"/>
          </w:rPr>
          <w:t>https://doi.org/10.1007/s10967-012-2114-2</w:t>
        </w:r>
      </w:hyperlink>
      <w:r w:rsidR="00A05D10">
        <w:rPr>
          <w:rFonts w:eastAsia="CIDFont+F1"/>
          <w:color w:val="000000"/>
        </w:rPr>
        <w:t xml:space="preserve"> </w:t>
      </w:r>
    </w:p>
    <w:p w:rsidR="00A05D10" w:rsidRDefault="00EA1941" w:rsidP="00F37773">
      <w:pPr>
        <w:numPr>
          <w:ilvl w:val="0"/>
          <w:numId w:val="2"/>
        </w:numPr>
        <w:autoSpaceDE w:val="0"/>
        <w:autoSpaceDN w:val="0"/>
        <w:adjustRightInd w:val="0"/>
        <w:spacing w:after="160"/>
        <w:ind w:left="426" w:hanging="426"/>
        <w:jc w:val="both"/>
        <w:rPr>
          <w:rFonts w:eastAsia="CIDFont+F1"/>
          <w:color w:val="000000"/>
        </w:rPr>
      </w:pPr>
      <w:r w:rsidRPr="00A05D10">
        <w:rPr>
          <w:rFonts w:asciiTheme="majorBidi" w:hAnsiTheme="majorBidi" w:cstheme="majorBidi"/>
          <w:color w:val="05103E"/>
        </w:rPr>
        <w:t>Al-</w:t>
      </w:r>
      <w:proofErr w:type="spellStart"/>
      <w:r w:rsidRPr="00A05D10">
        <w:rPr>
          <w:rFonts w:asciiTheme="majorBidi" w:hAnsiTheme="majorBidi" w:cstheme="majorBidi"/>
          <w:color w:val="05103E"/>
        </w:rPr>
        <w:t>Hamzawi</w:t>
      </w:r>
      <w:proofErr w:type="spellEnd"/>
      <w:r w:rsidRPr="00A05D10">
        <w:rPr>
          <w:rFonts w:asciiTheme="majorBidi" w:hAnsiTheme="majorBidi" w:cstheme="majorBidi"/>
          <w:color w:val="05103E"/>
        </w:rPr>
        <w:t xml:space="preserve">, A. A., </w:t>
      </w:r>
      <w:proofErr w:type="spellStart"/>
      <w:r w:rsidRPr="00A05D10">
        <w:rPr>
          <w:rFonts w:asciiTheme="majorBidi" w:hAnsiTheme="majorBidi" w:cstheme="majorBidi"/>
          <w:color w:val="05103E"/>
        </w:rPr>
        <w:t>Jaafar</w:t>
      </w:r>
      <w:proofErr w:type="spellEnd"/>
      <w:r w:rsidRPr="00A05D10">
        <w:rPr>
          <w:rFonts w:asciiTheme="majorBidi" w:hAnsiTheme="majorBidi" w:cstheme="majorBidi"/>
          <w:color w:val="05103E"/>
        </w:rPr>
        <w:t xml:space="preserve">, &amp; </w:t>
      </w:r>
      <w:proofErr w:type="spellStart"/>
      <w:r w:rsidRPr="00A05D10">
        <w:rPr>
          <w:rFonts w:asciiTheme="majorBidi" w:hAnsiTheme="majorBidi" w:cstheme="majorBidi"/>
          <w:color w:val="05103E"/>
        </w:rPr>
        <w:t>Tawfiq</w:t>
      </w:r>
      <w:proofErr w:type="spellEnd"/>
      <w:r w:rsidRPr="00A05D10">
        <w:rPr>
          <w:rFonts w:asciiTheme="majorBidi" w:hAnsiTheme="majorBidi" w:cstheme="majorBidi"/>
          <w:color w:val="05103E"/>
        </w:rPr>
        <w:t>, N. F. (2014). The measurements of uranium concentration in human blood in selected regions in Iraq using CR-39 track detector. </w:t>
      </w:r>
      <w:r w:rsidRPr="00A05D10">
        <w:rPr>
          <w:rFonts w:asciiTheme="majorBidi" w:hAnsiTheme="majorBidi" w:cstheme="majorBidi"/>
          <w:i/>
          <w:iCs/>
          <w:color w:val="05103E"/>
          <w:bdr w:val="single" w:sz="2" w:space="0" w:color="ECEDEE" w:frame="1"/>
        </w:rPr>
        <w:t>Advanced Materials Research</w:t>
      </w:r>
      <w:r w:rsidRPr="00A05D10">
        <w:rPr>
          <w:rFonts w:asciiTheme="majorBidi" w:hAnsiTheme="majorBidi" w:cstheme="majorBidi"/>
          <w:color w:val="05103E"/>
        </w:rPr>
        <w:t>, </w:t>
      </w:r>
      <w:r w:rsidRPr="00A05D10">
        <w:rPr>
          <w:rFonts w:asciiTheme="majorBidi" w:hAnsiTheme="majorBidi" w:cstheme="majorBidi"/>
          <w:i/>
          <w:iCs/>
          <w:color w:val="05103E"/>
          <w:bdr w:val="single" w:sz="2" w:space="0" w:color="ECEDEE" w:frame="1"/>
        </w:rPr>
        <w:t>925</w:t>
      </w:r>
      <w:r w:rsidRPr="00A05D10">
        <w:rPr>
          <w:rFonts w:asciiTheme="majorBidi" w:hAnsiTheme="majorBidi" w:cstheme="majorBidi"/>
          <w:color w:val="05103E"/>
        </w:rPr>
        <w:t>, 679–683. </w:t>
      </w:r>
      <w:r w:rsidRPr="00A05D10">
        <w:rPr>
          <w:rStyle w:val="url"/>
          <w:rFonts w:asciiTheme="majorBidi" w:hAnsiTheme="majorBidi" w:cstheme="majorBidi"/>
          <w:color w:val="05103E"/>
          <w:bdr w:val="single" w:sz="2" w:space="0" w:color="ECEDEE" w:frame="1"/>
        </w:rPr>
        <w:t xml:space="preserve"> </w:t>
      </w:r>
      <w:hyperlink r:id="rId46" w:history="1">
        <w:r w:rsidRPr="00A05D10">
          <w:rPr>
            <w:rStyle w:val="Hyperlink"/>
            <w:rFonts w:asciiTheme="majorBidi" w:hAnsiTheme="majorBidi" w:cstheme="majorBidi"/>
            <w:bdr w:val="single" w:sz="2" w:space="0" w:color="ECEDEE" w:frame="1"/>
          </w:rPr>
          <w:t>https://doi.org/10.4028/www.scientific.net/amr.925.679</w:t>
        </w:r>
      </w:hyperlink>
      <w:r w:rsidR="00A05D10">
        <w:rPr>
          <w:rFonts w:eastAsia="CIDFont+F1"/>
          <w:color w:val="000000"/>
        </w:rPr>
        <w:t xml:space="preserve"> </w:t>
      </w:r>
    </w:p>
    <w:p w:rsidR="00A05D10" w:rsidRDefault="00EA1941" w:rsidP="00F37773">
      <w:pPr>
        <w:numPr>
          <w:ilvl w:val="0"/>
          <w:numId w:val="2"/>
        </w:numPr>
        <w:autoSpaceDE w:val="0"/>
        <w:autoSpaceDN w:val="0"/>
        <w:adjustRightInd w:val="0"/>
        <w:spacing w:after="160"/>
        <w:ind w:left="426" w:hanging="426"/>
        <w:jc w:val="both"/>
        <w:rPr>
          <w:rFonts w:eastAsia="CIDFont+F1"/>
          <w:color w:val="000000"/>
        </w:rPr>
      </w:pPr>
      <w:proofErr w:type="spellStart"/>
      <w:r w:rsidRPr="00A05D10">
        <w:rPr>
          <w:rFonts w:asciiTheme="majorBidi" w:hAnsiTheme="majorBidi" w:cstheme="majorBidi"/>
          <w:color w:val="05103E"/>
        </w:rPr>
        <w:t>Stojsavljević</w:t>
      </w:r>
      <w:proofErr w:type="spellEnd"/>
      <w:r w:rsidRPr="00A05D10">
        <w:rPr>
          <w:rFonts w:asciiTheme="majorBidi" w:hAnsiTheme="majorBidi" w:cstheme="majorBidi"/>
          <w:color w:val="05103E"/>
        </w:rPr>
        <w:t xml:space="preserve">, A., </w:t>
      </w:r>
      <w:proofErr w:type="spellStart"/>
      <w:r w:rsidRPr="00A05D10">
        <w:rPr>
          <w:rFonts w:asciiTheme="majorBidi" w:hAnsiTheme="majorBidi" w:cstheme="majorBidi"/>
          <w:color w:val="05103E"/>
        </w:rPr>
        <w:t>Vujotić</w:t>
      </w:r>
      <w:proofErr w:type="spellEnd"/>
      <w:r w:rsidRPr="00A05D10">
        <w:rPr>
          <w:rFonts w:asciiTheme="majorBidi" w:hAnsiTheme="majorBidi" w:cstheme="majorBidi"/>
          <w:color w:val="05103E"/>
        </w:rPr>
        <w:t xml:space="preserve">, L., </w:t>
      </w:r>
      <w:proofErr w:type="spellStart"/>
      <w:r w:rsidRPr="00A05D10">
        <w:rPr>
          <w:rFonts w:asciiTheme="majorBidi" w:hAnsiTheme="majorBidi" w:cstheme="majorBidi"/>
          <w:color w:val="05103E"/>
        </w:rPr>
        <w:t>Rovčanin</w:t>
      </w:r>
      <w:proofErr w:type="spellEnd"/>
      <w:r w:rsidRPr="00A05D10">
        <w:rPr>
          <w:rFonts w:asciiTheme="majorBidi" w:hAnsiTheme="majorBidi" w:cstheme="majorBidi"/>
          <w:color w:val="05103E"/>
        </w:rPr>
        <w:t xml:space="preserve">, B., </w:t>
      </w:r>
      <w:proofErr w:type="spellStart"/>
      <w:r w:rsidRPr="00A05D10">
        <w:rPr>
          <w:rFonts w:asciiTheme="majorBidi" w:hAnsiTheme="majorBidi" w:cstheme="majorBidi"/>
          <w:color w:val="05103E"/>
        </w:rPr>
        <w:t>Borković-Mitić</w:t>
      </w:r>
      <w:proofErr w:type="spellEnd"/>
      <w:r w:rsidRPr="00A05D10">
        <w:rPr>
          <w:rFonts w:asciiTheme="majorBidi" w:hAnsiTheme="majorBidi" w:cstheme="majorBidi"/>
          <w:color w:val="05103E"/>
        </w:rPr>
        <w:t xml:space="preserve">, S., </w:t>
      </w:r>
      <w:proofErr w:type="spellStart"/>
      <w:r w:rsidRPr="00A05D10">
        <w:rPr>
          <w:rFonts w:asciiTheme="majorBidi" w:hAnsiTheme="majorBidi" w:cstheme="majorBidi"/>
          <w:color w:val="05103E"/>
        </w:rPr>
        <w:t>Gavrović-Jankulović</w:t>
      </w:r>
      <w:proofErr w:type="spellEnd"/>
      <w:r w:rsidRPr="00A05D10">
        <w:rPr>
          <w:rFonts w:asciiTheme="majorBidi" w:hAnsiTheme="majorBidi" w:cstheme="majorBidi"/>
          <w:color w:val="05103E"/>
        </w:rPr>
        <w:t xml:space="preserve">, M., &amp; </w:t>
      </w:r>
      <w:proofErr w:type="spellStart"/>
      <w:r w:rsidRPr="00A05D10">
        <w:rPr>
          <w:rFonts w:asciiTheme="majorBidi" w:hAnsiTheme="majorBidi" w:cstheme="majorBidi"/>
          <w:color w:val="05103E"/>
        </w:rPr>
        <w:t>Manojlović</w:t>
      </w:r>
      <w:proofErr w:type="spellEnd"/>
      <w:r w:rsidRPr="00A05D10">
        <w:rPr>
          <w:rFonts w:asciiTheme="majorBidi" w:hAnsiTheme="majorBidi" w:cstheme="majorBidi"/>
          <w:color w:val="05103E"/>
        </w:rPr>
        <w:t>, D. (2020). Assessment of trace metal alterations in the blood, cerebrospinal fluid and tissue samples of patients with malignant brain tumors. </w:t>
      </w:r>
      <w:r w:rsidRPr="00A05D10">
        <w:rPr>
          <w:rFonts w:asciiTheme="majorBidi" w:hAnsiTheme="majorBidi" w:cstheme="majorBidi"/>
          <w:i/>
          <w:iCs/>
          <w:color w:val="05103E"/>
          <w:bdr w:val="single" w:sz="2" w:space="0" w:color="ECEDEE" w:frame="1"/>
        </w:rPr>
        <w:t>Scientific Reports</w:t>
      </w:r>
      <w:r w:rsidRPr="00A05D10">
        <w:rPr>
          <w:rFonts w:asciiTheme="majorBidi" w:hAnsiTheme="majorBidi" w:cstheme="majorBidi"/>
          <w:color w:val="05103E"/>
        </w:rPr>
        <w:t>, </w:t>
      </w:r>
      <w:r w:rsidRPr="00A05D10">
        <w:rPr>
          <w:rFonts w:asciiTheme="majorBidi" w:hAnsiTheme="majorBidi" w:cstheme="majorBidi"/>
          <w:i/>
          <w:iCs/>
          <w:color w:val="05103E"/>
          <w:bdr w:val="single" w:sz="2" w:space="0" w:color="ECEDEE" w:frame="1"/>
        </w:rPr>
        <w:t>10</w:t>
      </w:r>
      <w:r w:rsidRPr="00A05D10">
        <w:rPr>
          <w:rFonts w:asciiTheme="majorBidi" w:hAnsiTheme="majorBidi" w:cstheme="majorBidi"/>
          <w:color w:val="05103E"/>
        </w:rPr>
        <w:t>(1). </w:t>
      </w:r>
      <w:hyperlink r:id="rId47" w:history="1">
        <w:r w:rsidRPr="00A05D10">
          <w:rPr>
            <w:rStyle w:val="Hyperlink"/>
            <w:rFonts w:asciiTheme="majorBidi" w:hAnsiTheme="majorBidi" w:cstheme="majorBidi"/>
            <w:bdr w:val="single" w:sz="2" w:space="0" w:color="ECEDEE" w:frame="1"/>
          </w:rPr>
          <w:t>https://doi.org/10.1038/s41598-020-60774-0</w:t>
        </w:r>
      </w:hyperlink>
      <w:r w:rsidR="00A05D10">
        <w:rPr>
          <w:rFonts w:eastAsia="CIDFont+F1"/>
          <w:color w:val="000000"/>
        </w:rPr>
        <w:t xml:space="preserve"> </w:t>
      </w:r>
    </w:p>
    <w:p w:rsidR="00A05D10" w:rsidRDefault="00EA1941" w:rsidP="00F37773">
      <w:pPr>
        <w:numPr>
          <w:ilvl w:val="0"/>
          <w:numId w:val="2"/>
        </w:numPr>
        <w:autoSpaceDE w:val="0"/>
        <w:autoSpaceDN w:val="0"/>
        <w:adjustRightInd w:val="0"/>
        <w:spacing w:after="160"/>
        <w:ind w:left="426" w:hanging="426"/>
        <w:jc w:val="both"/>
        <w:rPr>
          <w:rFonts w:eastAsia="CIDFont+F1"/>
          <w:color w:val="000000"/>
        </w:rPr>
      </w:pPr>
      <w:proofErr w:type="spellStart"/>
      <w:r w:rsidRPr="00A05D10">
        <w:rPr>
          <w:rFonts w:asciiTheme="majorBidi" w:hAnsiTheme="majorBidi" w:cstheme="majorBidi"/>
          <w:color w:val="05103E"/>
        </w:rPr>
        <w:t>Stojsavljević</w:t>
      </w:r>
      <w:proofErr w:type="spellEnd"/>
      <w:r w:rsidRPr="00A05D10">
        <w:rPr>
          <w:rFonts w:asciiTheme="majorBidi" w:hAnsiTheme="majorBidi" w:cstheme="majorBidi"/>
          <w:color w:val="05103E"/>
        </w:rPr>
        <w:t xml:space="preserve">, A., </w:t>
      </w:r>
      <w:proofErr w:type="spellStart"/>
      <w:r w:rsidRPr="00A05D10">
        <w:rPr>
          <w:rFonts w:asciiTheme="majorBidi" w:hAnsiTheme="majorBidi" w:cstheme="majorBidi"/>
          <w:color w:val="05103E"/>
        </w:rPr>
        <w:t>Škrivanj</w:t>
      </w:r>
      <w:proofErr w:type="spellEnd"/>
      <w:r w:rsidRPr="00A05D10">
        <w:rPr>
          <w:rFonts w:asciiTheme="majorBidi" w:hAnsiTheme="majorBidi" w:cstheme="majorBidi"/>
          <w:color w:val="05103E"/>
        </w:rPr>
        <w:t xml:space="preserve">, S., </w:t>
      </w:r>
      <w:proofErr w:type="spellStart"/>
      <w:r w:rsidRPr="00A05D10">
        <w:rPr>
          <w:rFonts w:asciiTheme="majorBidi" w:hAnsiTheme="majorBidi" w:cstheme="majorBidi"/>
          <w:color w:val="05103E"/>
        </w:rPr>
        <w:t>Trifković</w:t>
      </w:r>
      <w:proofErr w:type="spellEnd"/>
      <w:r w:rsidRPr="00A05D10">
        <w:rPr>
          <w:rFonts w:asciiTheme="majorBidi" w:hAnsiTheme="majorBidi" w:cstheme="majorBidi"/>
          <w:color w:val="05103E"/>
        </w:rPr>
        <w:t xml:space="preserve">, J., </w:t>
      </w:r>
      <w:proofErr w:type="spellStart"/>
      <w:r w:rsidRPr="00A05D10">
        <w:rPr>
          <w:rFonts w:asciiTheme="majorBidi" w:hAnsiTheme="majorBidi" w:cstheme="majorBidi"/>
          <w:color w:val="05103E"/>
        </w:rPr>
        <w:t>Djoković</w:t>
      </w:r>
      <w:proofErr w:type="spellEnd"/>
      <w:r w:rsidRPr="00A05D10">
        <w:rPr>
          <w:rFonts w:asciiTheme="majorBidi" w:hAnsiTheme="majorBidi" w:cstheme="majorBidi"/>
          <w:color w:val="05103E"/>
        </w:rPr>
        <w:t xml:space="preserve">, N., </w:t>
      </w:r>
      <w:proofErr w:type="spellStart"/>
      <w:r w:rsidRPr="00A05D10">
        <w:rPr>
          <w:rFonts w:asciiTheme="majorBidi" w:hAnsiTheme="majorBidi" w:cstheme="majorBidi"/>
          <w:color w:val="05103E"/>
        </w:rPr>
        <w:t>Trifunović</w:t>
      </w:r>
      <w:proofErr w:type="spellEnd"/>
      <w:r w:rsidRPr="00A05D10">
        <w:rPr>
          <w:rFonts w:asciiTheme="majorBidi" w:hAnsiTheme="majorBidi" w:cstheme="majorBidi"/>
          <w:color w:val="05103E"/>
        </w:rPr>
        <w:t xml:space="preserve">, S. R., </w:t>
      </w:r>
      <w:proofErr w:type="spellStart"/>
      <w:r w:rsidRPr="00A05D10">
        <w:rPr>
          <w:rFonts w:asciiTheme="majorBidi" w:hAnsiTheme="majorBidi" w:cstheme="majorBidi"/>
          <w:color w:val="05103E"/>
        </w:rPr>
        <w:t>Borković-Mitić</w:t>
      </w:r>
      <w:proofErr w:type="spellEnd"/>
      <w:r w:rsidRPr="00A05D10">
        <w:rPr>
          <w:rFonts w:asciiTheme="majorBidi" w:hAnsiTheme="majorBidi" w:cstheme="majorBidi"/>
          <w:color w:val="05103E"/>
        </w:rPr>
        <w:t xml:space="preserve">, S., &amp; </w:t>
      </w:r>
      <w:proofErr w:type="spellStart"/>
      <w:r w:rsidRPr="00A05D10">
        <w:rPr>
          <w:rFonts w:asciiTheme="majorBidi" w:hAnsiTheme="majorBidi" w:cstheme="majorBidi"/>
          <w:color w:val="05103E"/>
        </w:rPr>
        <w:t>Manojlović</w:t>
      </w:r>
      <w:proofErr w:type="spellEnd"/>
      <w:r w:rsidRPr="00A05D10">
        <w:rPr>
          <w:rFonts w:asciiTheme="majorBidi" w:hAnsiTheme="majorBidi" w:cstheme="majorBidi"/>
          <w:color w:val="05103E"/>
        </w:rPr>
        <w:t>, D. (2019b). The content of toxic and essential elements in trabecular and cortical femoral neck: a correlation with whole blood samples. </w:t>
      </w:r>
      <w:r w:rsidRPr="00A05D10">
        <w:rPr>
          <w:rFonts w:asciiTheme="majorBidi" w:hAnsiTheme="majorBidi" w:cstheme="majorBidi"/>
          <w:i/>
          <w:iCs/>
          <w:color w:val="05103E"/>
          <w:bdr w:val="single" w:sz="2" w:space="0" w:color="ECEDEE" w:frame="1"/>
        </w:rPr>
        <w:t>Environmental Science and Pollution Research</w:t>
      </w:r>
      <w:r w:rsidRPr="00A05D10">
        <w:rPr>
          <w:rFonts w:asciiTheme="majorBidi" w:hAnsiTheme="majorBidi" w:cstheme="majorBidi"/>
          <w:color w:val="05103E"/>
        </w:rPr>
        <w:t>, </w:t>
      </w:r>
      <w:r w:rsidRPr="00A05D10">
        <w:rPr>
          <w:rFonts w:asciiTheme="majorBidi" w:hAnsiTheme="majorBidi" w:cstheme="majorBidi"/>
          <w:i/>
          <w:iCs/>
          <w:color w:val="05103E"/>
          <w:bdr w:val="single" w:sz="2" w:space="0" w:color="ECEDEE" w:frame="1"/>
        </w:rPr>
        <w:t>26</w:t>
      </w:r>
      <w:r w:rsidRPr="00A05D10">
        <w:rPr>
          <w:rFonts w:asciiTheme="majorBidi" w:hAnsiTheme="majorBidi" w:cstheme="majorBidi"/>
          <w:color w:val="05103E"/>
        </w:rPr>
        <w:t>(16), 16577–16587. </w:t>
      </w:r>
      <w:hyperlink r:id="rId48" w:history="1">
        <w:r w:rsidRPr="00A05D10">
          <w:rPr>
            <w:rStyle w:val="Hyperlink"/>
            <w:rFonts w:asciiTheme="majorBidi" w:hAnsiTheme="majorBidi" w:cstheme="majorBidi"/>
            <w:bdr w:val="single" w:sz="2" w:space="0" w:color="ECEDEE" w:frame="1"/>
          </w:rPr>
          <w:t>https://doi.org/10.1007/s11356-019-04796-w</w:t>
        </w:r>
      </w:hyperlink>
      <w:r w:rsidR="00A05D10">
        <w:rPr>
          <w:rFonts w:eastAsia="CIDFont+F1"/>
          <w:color w:val="000000"/>
        </w:rPr>
        <w:t xml:space="preserve"> </w:t>
      </w:r>
    </w:p>
    <w:p w:rsidR="00A05D10" w:rsidRPr="00A05D10" w:rsidRDefault="000D06B3" w:rsidP="00F37773">
      <w:pPr>
        <w:numPr>
          <w:ilvl w:val="0"/>
          <w:numId w:val="2"/>
        </w:numPr>
        <w:autoSpaceDE w:val="0"/>
        <w:autoSpaceDN w:val="0"/>
        <w:adjustRightInd w:val="0"/>
        <w:spacing w:after="160"/>
        <w:ind w:left="426" w:hanging="426"/>
        <w:jc w:val="both"/>
        <w:rPr>
          <w:rStyle w:val="Hyperlink"/>
          <w:rFonts w:eastAsia="CIDFont+F1"/>
          <w:color w:val="000000"/>
          <w:u w:val="none"/>
        </w:rPr>
      </w:pPr>
      <w:proofErr w:type="spellStart"/>
      <w:r w:rsidRPr="00A05D10">
        <w:rPr>
          <w:rFonts w:asciiTheme="majorBidi" w:hAnsiTheme="majorBidi" w:cstheme="majorBidi"/>
          <w:color w:val="05103E"/>
        </w:rPr>
        <w:lastRenderedPageBreak/>
        <w:t>Ćurković</w:t>
      </w:r>
      <w:proofErr w:type="spellEnd"/>
      <w:r w:rsidRPr="00A05D10">
        <w:rPr>
          <w:rFonts w:asciiTheme="majorBidi" w:hAnsiTheme="majorBidi" w:cstheme="majorBidi"/>
          <w:color w:val="05103E"/>
        </w:rPr>
        <w:t xml:space="preserve">, M., Sipos, L., </w:t>
      </w:r>
      <w:proofErr w:type="spellStart"/>
      <w:r w:rsidRPr="00A05D10">
        <w:rPr>
          <w:rFonts w:asciiTheme="majorBidi" w:hAnsiTheme="majorBidi" w:cstheme="majorBidi"/>
          <w:color w:val="05103E"/>
        </w:rPr>
        <w:t>Puntarić</w:t>
      </w:r>
      <w:proofErr w:type="spellEnd"/>
      <w:r w:rsidRPr="00A05D10">
        <w:rPr>
          <w:rFonts w:asciiTheme="majorBidi" w:hAnsiTheme="majorBidi" w:cstheme="majorBidi"/>
          <w:color w:val="05103E"/>
        </w:rPr>
        <w:t xml:space="preserve">, D., </w:t>
      </w:r>
      <w:proofErr w:type="spellStart"/>
      <w:r w:rsidRPr="00A05D10">
        <w:rPr>
          <w:rFonts w:asciiTheme="majorBidi" w:hAnsiTheme="majorBidi" w:cstheme="majorBidi"/>
          <w:color w:val="05103E"/>
        </w:rPr>
        <w:t>Dodig-Ćurković</w:t>
      </w:r>
      <w:proofErr w:type="spellEnd"/>
      <w:r w:rsidRPr="00A05D10">
        <w:rPr>
          <w:rFonts w:asciiTheme="majorBidi" w:hAnsiTheme="majorBidi" w:cstheme="majorBidi"/>
          <w:color w:val="05103E"/>
        </w:rPr>
        <w:t xml:space="preserve">, K., </w:t>
      </w:r>
      <w:proofErr w:type="spellStart"/>
      <w:r w:rsidRPr="00A05D10">
        <w:rPr>
          <w:rFonts w:asciiTheme="majorBidi" w:hAnsiTheme="majorBidi" w:cstheme="majorBidi"/>
          <w:color w:val="05103E"/>
        </w:rPr>
        <w:t>Pivac</w:t>
      </w:r>
      <w:proofErr w:type="spellEnd"/>
      <w:r w:rsidRPr="00A05D10">
        <w:rPr>
          <w:rFonts w:asciiTheme="majorBidi" w:hAnsiTheme="majorBidi" w:cstheme="majorBidi"/>
          <w:color w:val="05103E"/>
        </w:rPr>
        <w:t xml:space="preserve">, N., &amp; </w:t>
      </w:r>
      <w:proofErr w:type="spellStart"/>
      <w:r w:rsidRPr="00A05D10">
        <w:rPr>
          <w:rFonts w:asciiTheme="majorBidi" w:hAnsiTheme="majorBidi" w:cstheme="majorBidi"/>
          <w:color w:val="05103E"/>
        </w:rPr>
        <w:t>Kralik</w:t>
      </w:r>
      <w:proofErr w:type="spellEnd"/>
      <w:r w:rsidRPr="00A05D10">
        <w:rPr>
          <w:rFonts w:asciiTheme="majorBidi" w:hAnsiTheme="majorBidi" w:cstheme="majorBidi"/>
          <w:color w:val="05103E"/>
        </w:rPr>
        <w:t>, K. (2013). Detection of thallium and uranium in well water and biological specimens of an eastern Croatian population. </w:t>
      </w:r>
      <w:r w:rsidRPr="00A05D10">
        <w:rPr>
          <w:rFonts w:asciiTheme="majorBidi" w:hAnsiTheme="majorBidi" w:cstheme="majorBidi"/>
          <w:i/>
          <w:iCs/>
          <w:color w:val="05103E"/>
          <w:bdr w:val="single" w:sz="2" w:space="0" w:color="ECEDEE" w:frame="1"/>
        </w:rPr>
        <w:t>Archives of Industrial Hygiene and Toxicology</w:t>
      </w:r>
      <w:r w:rsidRPr="00A05D10">
        <w:rPr>
          <w:rFonts w:asciiTheme="majorBidi" w:hAnsiTheme="majorBidi" w:cstheme="majorBidi"/>
          <w:color w:val="05103E"/>
        </w:rPr>
        <w:t>, </w:t>
      </w:r>
      <w:r w:rsidRPr="00A05D10">
        <w:rPr>
          <w:rFonts w:asciiTheme="majorBidi" w:hAnsiTheme="majorBidi" w:cstheme="majorBidi"/>
          <w:i/>
          <w:iCs/>
          <w:color w:val="05103E"/>
          <w:bdr w:val="single" w:sz="2" w:space="0" w:color="ECEDEE" w:frame="1"/>
        </w:rPr>
        <w:t>64</w:t>
      </w:r>
      <w:r w:rsidRPr="00A05D10">
        <w:rPr>
          <w:rFonts w:asciiTheme="majorBidi" w:hAnsiTheme="majorBidi" w:cstheme="majorBidi"/>
          <w:color w:val="05103E"/>
        </w:rPr>
        <w:t>(3), 385–394. </w:t>
      </w:r>
      <w:hyperlink r:id="rId49" w:history="1">
        <w:r w:rsidRPr="00A05D10">
          <w:rPr>
            <w:rStyle w:val="Hyperlink"/>
            <w:rFonts w:asciiTheme="majorBidi" w:hAnsiTheme="majorBidi" w:cstheme="majorBidi"/>
            <w:bdr w:val="single" w:sz="2" w:space="0" w:color="ECEDEE" w:frame="1"/>
          </w:rPr>
          <w:t>https://doi.org/10.2478/10004-1254-64-2013-2300</w:t>
        </w:r>
      </w:hyperlink>
      <w:r w:rsidR="00A05D10">
        <w:rPr>
          <w:rStyle w:val="Hyperlink"/>
          <w:rFonts w:asciiTheme="majorBidi" w:hAnsiTheme="majorBidi" w:cstheme="majorBidi"/>
          <w:bdr w:val="single" w:sz="2" w:space="0" w:color="ECEDEE" w:frame="1"/>
        </w:rPr>
        <w:t xml:space="preserve"> </w:t>
      </w:r>
    </w:p>
    <w:p w:rsidR="00A05D10" w:rsidRDefault="000D06B3" w:rsidP="00F37773">
      <w:pPr>
        <w:numPr>
          <w:ilvl w:val="0"/>
          <w:numId w:val="2"/>
        </w:numPr>
        <w:autoSpaceDE w:val="0"/>
        <w:autoSpaceDN w:val="0"/>
        <w:adjustRightInd w:val="0"/>
        <w:spacing w:after="160"/>
        <w:ind w:left="426" w:hanging="426"/>
        <w:jc w:val="both"/>
        <w:rPr>
          <w:rFonts w:eastAsia="CIDFont+F1"/>
          <w:color w:val="000000"/>
        </w:rPr>
      </w:pPr>
      <w:r w:rsidRPr="00A05D10">
        <w:rPr>
          <w:color w:val="05103E"/>
        </w:rPr>
        <w:t xml:space="preserve">Keith, L. S., &amp; </w:t>
      </w:r>
      <w:proofErr w:type="spellStart"/>
      <w:r w:rsidRPr="00A05D10">
        <w:rPr>
          <w:color w:val="05103E"/>
        </w:rPr>
        <w:t>Faroon</w:t>
      </w:r>
      <w:proofErr w:type="spellEnd"/>
      <w:r w:rsidRPr="00A05D10">
        <w:rPr>
          <w:color w:val="05103E"/>
        </w:rPr>
        <w:t>, O. M. (2022). Uranium. In </w:t>
      </w:r>
      <w:r w:rsidRPr="00A05D10">
        <w:rPr>
          <w:i/>
          <w:iCs/>
          <w:color w:val="05103E"/>
          <w:bdr w:val="single" w:sz="2" w:space="0" w:color="ECEDEE" w:frame="1"/>
        </w:rPr>
        <w:t>Elsevier eBooks</w:t>
      </w:r>
      <w:r w:rsidRPr="00A05D10">
        <w:rPr>
          <w:color w:val="05103E"/>
        </w:rPr>
        <w:t> (pp. 885–936). </w:t>
      </w:r>
      <w:hyperlink r:id="rId50" w:history="1">
        <w:r w:rsidRPr="00A05D10">
          <w:rPr>
            <w:rStyle w:val="Hyperlink"/>
            <w:bdr w:val="single" w:sz="2" w:space="0" w:color="ECEDEE" w:frame="1"/>
          </w:rPr>
          <w:t>https://doi.org/10.1016/b978-0-12-822946-0.00032-5</w:t>
        </w:r>
      </w:hyperlink>
      <w:r w:rsidR="00A05D10">
        <w:rPr>
          <w:rFonts w:eastAsia="CIDFont+F1"/>
          <w:color w:val="000000"/>
        </w:rPr>
        <w:t xml:space="preserve"> </w:t>
      </w:r>
    </w:p>
    <w:p w:rsidR="00A05D10" w:rsidRDefault="000D06B3" w:rsidP="00F37773">
      <w:pPr>
        <w:numPr>
          <w:ilvl w:val="0"/>
          <w:numId w:val="2"/>
        </w:numPr>
        <w:autoSpaceDE w:val="0"/>
        <w:autoSpaceDN w:val="0"/>
        <w:adjustRightInd w:val="0"/>
        <w:spacing w:after="160"/>
        <w:ind w:left="426" w:hanging="426"/>
        <w:jc w:val="both"/>
        <w:rPr>
          <w:rFonts w:eastAsia="CIDFont+F1"/>
          <w:color w:val="000000"/>
        </w:rPr>
      </w:pPr>
      <w:r w:rsidRPr="00A05D10">
        <w:rPr>
          <w:color w:val="05103E"/>
        </w:rPr>
        <w:t>Huang, R., &amp; Zhou, P. (2020). DNA damage response signaling pathways and targets for radiotherapy sensitization in cancer. </w:t>
      </w:r>
      <w:r w:rsidRPr="00A05D10">
        <w:rPr>
          <w:i/>
          <w:iCs/>
          <w:color w:val="05103E"/>
          <w:bdr w:val="single" w:sz="2" w:space="0" w:color="ECEDEE" w:frame="1"/>
        </w:rPr>
        <w:t>Signal Transduction and Targeted Therapy</w:t>
      </w:r>
      <w:r w:rsidRPr="00A05D10">
        <w:rPr>
          <w:color w:val="05103E"/>
        </w:rPr>
        <w:t>, </w:t>
      </w:r>
      <w:r w:rsidRPr="00A05D10">
        <w:rPr>
          <w:i/>
          <w:iCs/>
          <w:color w:val="05103E"/>
          <w:bdr w:val="single" w:sz="2" w:space="0" w:color="ECEDEE" w:frame="1"/>
        </w:rPr>
        <w:t>5</w:t>
      </w:r>
      <w:r w:rsidRPr="00A05D10">
        <w:rPr>
          <w:color w:val="05103E"/>
        </w:rPr>
        <w:t>(1). </w:t>
      </w:r>
      <w:hyperlink r:id="rId51" w:history="1">
        <w:r w:rsidRPr="00A05D10">
          <w:rPr>
            <w:rStyle w:val="Hyperlink"/>
            <w:bdr w:val="single" w:sz="2" w:space="0" w:color="ECEDEE" w:frame="1"/>
          </w:rPr>
          <w:t>https://doi.org/10.1038/s41392-020-0150-x</w:t>
        </w:r>
      </w:hyperlink>
      <w:r w:rsidR="00A05D10">
        <w:rPr>
          <w:rFonts w:eastAsia="CIDFont+F1"/>
          <w:color w:val="000000"/>
        </w:rPr>
        <w:t xml:space="preserve"> </w:t>
      </w:r>
    </w:p>
    <w:p w:rsidR="00A05D10" w:rsidRDefault="000D06B3" w:rsidP="00F37773">
      <w:pPr>
        <w:numPr>
          <w:ilvl w:val="0"/>
          <w:numId w:val="2"/>
        </w:numPr>
        <w:autoSpaceDE w:val="0"/>
        <w:autoSpaceDN w:val="0"/>
        <w:adjustRightInd w:val="0"/>
        <w:spacing w:after="160"/>
        <w:ind w:left="426" w:hanging="426"/>
        <w:jc w:val="both"/>
        <w:rPr>
          <w:rFonts w:eastAsia="CIDFont+F1"/>
          <w:color w:val="000000"/>
        </w:rPr>
      </w:pPr>
      <w:r w:rsidRPr="00A05D10">
        <w:rPr>
          <w:color w:val="05103E"/>
        </w:rPr>
        <w:t xml:space="preserve">Ren, Y., Yang, P., Li, C., Wang, W., Zhang, T., Li, J., Li, H., Dong, C., </w:t>
      </w:r>
      <w:proofErr w:type="spellStart"/>
      <w:r w:rsidRPr="00A05D10">
        <w:rPr>
          <w:color w:val="05103E"/>
        </w:rPr>
        <w:t>Meng</w:t>
      </w:r>
      <w:proofErr w:type="spellEnd"/>
      <w:r w:rsidRPr="00A05D10">
        <w:rPr>
          <w:color w:val="05103E"/>
        </w:rPr>
        <w:t xml:space="preserve">, W., &amp; Zhou, H. (2023). Ionizing radiation triggers </w:t>
      </w:r>
      <w:proofErr w:type="spellStart"/>
      <w:r w:rsidRPr="00A05D10">
        <w:rPr>
          <w:color w:val="05103E"/>
        </w:rPr>
        <w:t>mitophagy</w:t>
      </w:r>
      <w:proofErr w:type="spellEnd"/>
      <w:r w:rsidRPr="00A05D10">
        <w:rPr>
          <w:color w:val="05103E"/>
        </w:rPr>
        <w:t xml:space="preserve"> to enhance DNA damage in cancer cells. </w:t>
      </w:r>
      <w:r w:rsidRPr="00A05D10">
        <w:rPr>
          <w:i/>
          <w:iCs/>
          <w:color w:val="05103E"/>
          <w:bdr w:val="single" w:sz="2" w:space="0" w:color="ECEDEE" w:frame="1"/>
        </w:rPr>
        <w:t>Cell Death Discovery</w:t>
      </w:r>
      <w:r w:rsidRPr="00A05D10">
        <w:rPr>
          <w:color w:val="05103E"/>
        </w:rPr>
        <w:t>, </w:t>
      </w:r>
      <w:r w:rsidRPr="00A05D10">
        <w:rPr>
          <w:i/>
          <w:iCs/>
          <w:color w:val="05103E"/>
          <w:bdr w:val="single" w:sz="2" w:space="0" w:color="ECEDEE" w:frame="1"/>
        </w:rPr>
        <w:t>9</w:t>
      </w:r>
      <w:r w:rsidRPr="00A05D10">
        <w:rPr>
          <w:color w:val="05103E"/>
        </w:rPr>
        <w:t>(1). </w:t>
      </w:r>
      <w:hyperlink r:id="rId52" w:history="1">
        <w:r w:rsidRPr="00A05D10">
          <w:rPr>
            <w:rStyle w:val="Hyperlink"/>
            <w:bdr w:val="single" w:sz="2" w:space="0" w:color="ECEDEE" w:frame="1"/>
          </w:rPr>
          <w:t>https://doi.org/10.1038/s41420-023-01573-0</w:t>
        </w:r>
      </w:hyperlink>
      <w:r w:rsidR="00A05D10">
        <w:rPr>
          <w:rFonts w:eastAsia="CIDFont+F1"/>
          <w:color w:val="000000"/>
        </w:rPr>
        <w:t xml:space="preserve"> </w:t>
      </w:r>
    </w:p>
    <w:p w:rsidR="00A05D10" w:rsidRDefault="000D06B3" w:rsidP="00F37773">
      <w:pPr>
        <w:numPr>
          <w:ilvl w:val="0"/>
          <w:numId w:val="2"/>
        </w:numPr>
        <w:autoSpaceDE w:val="0"/>
        <w:autoSpaceDN w:val="0"/>
        <w:adjustRightInd w:val="0"/>
        <w:spacing w:after="160"/>
        <w:ind w:left="426" w:hanging="426"/>
        <w:jc w:val="both"/>
        <w:rPr>
          <w:rFonts w:eastAsia="CIDFont+F1"/>
          <w:color w:val="000000"/>
        </w:rPr>
      </w:pPr>
      <w:r w:rsidRPr="00A05D10">
        <w:rPr>
          <w:color w:val="05103E"/>
        </w:rPr>
        <w:t xml:space="preserve">Joseph, S. J., </w:t>
      </w:r>
      <w:proofErr w:type="spellStart"/>
      <w:r w:rsidRPr="00A05D10">
        <w:rPr>
          <w:color w:val="05103E"/>
        </w:rPr>
        <w:t>Arunachalam</w:t>
      </w:r>
      <w:proofErr w:type="spellEnd"/>
      <w:r w:rsidRPr="00A05D10">
        <w:rPr>
          <w:color w:val="05103E"/>
        </w:rPr>
        <w:t xml:space="preserve">, K. D., Murthy, P. B., </w:t>
      </w:r>
      <w:proofErr w:type="spellStart"/>
      <w:r w:rsidRPr="00A05D10">
        <w:rPr>
          <w:color w:val="05103E"/>
        </w:rPr>
        <w:t>Ramalingam</w:t>
      </w:r>
      <w:proofErr w:type="spellEnd"/>
      <w:r w:rsidRPr="00A05D10">
        <w:rPr>
          <w:color w:val="05103E"/>
        </w:rPr>
        <w:t xml:space="preserve">, R., &amp; </w:t>
      </w:r>
      <w:proofErr w:type="spellStart"/>
      <w:r w:rsidRPr="00A05D10">
        <w:rPr>
          <w:color w:val="05103E"/>
        </w:rPr>
        <w:t>Musthafa</w:t>
      </w:r>
      <w:proofErr w:type="spellEnd"/>
      <w:r w:rsidRPr="00A05D10">
        <w:rPr>
          <w:color w:val="05103E"/>
        </w:rPr>
        <w:t>, M. S. (2021). Uranium induces genomic instability and slows cell cycle progression in human lymphocytes in acute toxicity study. </w:t>
      </w:r>
      <w:r w:rsidRPr="00A05D10">
        <w:rPr>
          <w:i/>
          <w:iCs/>
          <w:color w:val="05103E"/>
          <w:bdr w:val="single" w:sz="2" w:space="0" w:color="ECEDEE" w:frame="1"/>
        </w:rPr>
        <w:t>Toxicology in Vitro</w:t>
      </w:r>
      <w:r w:rsidRPr="00A05D10">
        <w:rPr>
          <w:color w:val="05103E"/>
        </w:rPr>
        <w:t>, </w:t>
      </w:r>
      <w:r w:rsidRPr="00A05D10">
        <w:rPr>
          <w:i/>
          <w:iCs/>
          <w:color w:val="05103E"/>
          <w:bdr w:val="single" w:sz="2" w:space="0" w:color="ECEDEE" w:frame="1"/>
        </w:rPr>
        <w:t>73</w:t>
      </w:r>
      <w:r w:rsidRPr="00A05D10">
        <w:rPr>
          <w:color w:val="05103E"/>
        </w:rPr>
        <w:t>, 105149. </w:t>
      </w:r>
      <w:hyperlink r:id="rId53" w:history="1">
        <w:r w:rsidRPr="00A05D10">
          <w:rPr>
            <w:rStyle w:val="Hyperlink"/>
            <w:bdr w:val="single" w:sz="2" w:space="0" w:color="ECEDEE" w:frame="1"/>
          </w:rPr>
          <w:t>https://doi.org/10.1016/j.tiv.2021.105149</w:t>
        </w:r>
      </w:hyperlink>
      <w:r w:rsidR="00A05D10">
        <w:rPr>
          <w:rFonts w:eastAsia="CIDFont+F1"/>
          <w:color w:val="000000"/>
        </w:rPr>
        <w:t xml:space="preserve"> </w:t>
      </w:r>
    </w:p>
    <w:p w:rsidR="00A05D10" w:rsidRDefault="004639B1" w:rsidP="00F37773">
      <w:pPr>
        <w:numPr>
          <w:ilvl w:val="0"/>
          <w:numId w:val="2"/>
        </w:numPr>
        <w:autoSpaceDE w:val="0"/>
        <w:autoSpaceDN w:val="0"/>
        <w:adjustRightInd w:val="0"/>
        <w:spacing w:after="160"/>
        <w:ind w:left="426" w:hanging="426"/>
        <w:jc w:val="both"/>
        <w:rPr>
          <w:rFonts w:eastAsia="CIDFont+F1"/>
          <w:color w:val="000000"/>
        </w:rPr>
      </w:pPr>
      <w:proofErr w:type="spellStart"/>
      <w:r w:rsidRPr="00A05D10">
        <w:rPr>
          <w:color w:val="05103E"/>
        </w:rPr>
        <w:t>Capocaccia</w:t>
      </w:r>
      <w:proofErr w:type="spellEnd"/>
      <w:r w:rsidRPr="00A05D10">
        <w:rPr>
          <w:color w:val="05103E"/>
        </w:rPr>
        <w:t xml:space="preserve">, R., </w:t>
      </w:r>
      <w:proofErr w:type="spellStart"/>
      <w:r w:rsidRPr="00A05D10">
        <w:rPr>
          <w:color w:val="05103E"/>
        </w:rPr>
        <w:t>Biselli</w:t>
      </w:r>
      <w:proofErr w:type="spellEnd"/>
      <w:r w:rsidRPr="00A05D10">
        <w:rPr>
          <w:color w:val="05103E"/>
        </w:rPr>
        <w:t xml:space="preserve">, R., Ruggeri, R., </w:t>
      </w:r>
      <w:proofErr w:type="spellStart"/>
      <w:r w:rsidRPr="00A05D10">
        <w:rPr>
          <w:color w:val="05103E"/>
        </w:rPr>
        <w:t>Tesei</w:t>
      </w:r>
      <w:proofErr w:type="spellEnd"/>
      <w:r w:rsidRPr="00A05D10">
        <w:rPr>
          <w:color w:val="05103E"/>
        </w:rPr>
        <w:t xml:space="preserve">, C., Grande, E., Martina, L., </w:t>
      </w:r>
      <w:proofErr w:type="spellStart"/>
      <w:r w:rsidRPr="00A05D10">
        <w:rPr>
          <w:color w:val="05103E"/>
        </w:rPr>
        <w:t>Rocchetti</w:t>
      </w:r>
      <w:proofErr w:type="spellEnd"/>
      <w:r w:rsidRPr="00A05D10">
        <w:rPr>
          <w:color w:val="05103E"/>
        </w:rPr>
        <w:t xml:space="preserve">, A., </w:t>
      </w:r>
      <w:proofErr w:type="spellStart"/>
      <w:r w:rsidRPr="00A05D10">
        <w:rPr>
          <w:color w:val="05103E"/>
        </w:rPr>
        <w:t>Salmaso</w:t>
      </w:r>
      <w:proofErr w:type="spellEnd"/>
      <w:r w:rsidRPr="00A05D10">
        <w:rPr>
          <w:color w:val="05103E"/>
        </w:rPr>
        <w:t xml:space="preserve">, S., </w:t>
      </w:r>
      <w:proofErr w:type="spellStart"/>
      <w:r w:rsidRPr="00A05D10">
        <w:rPr>
          <w:color w:val="05103E"/>
        </w:rPr>
        <w:t>Caldora</w:t>
      </w:r>
      <w:proofErr w:type="spellEnd"/>
      <w:r w:rsidRPr="00A05D10">
        <w:rPr>
          <w:color w:val="05103E"/>
        </w:rPr>
        <w:t xml:space="preserve">, M., &amp; </w:t>
      </w:r>
      <w:proofErr w:type="spellStart"/>
      <w:r w:rsidRPr="00A05D10">
        <w:rPr>
          <w:color w:val="05103E"/>
        </w:rPr>
        <w:t>Francisci</w:t>
      </w:r>
      <w:proofErr w:type="spellEnd"/>
      <w:r w:rsidRPr="00A05D10">
        <w:rPr>
          <w:color w:val="05103E"/>
        </w:rPr>
        <w:t>, S. (2015). Mortality in Italian veterans deployed in Bosnia–Herzegovina and Kosovo. </w:t>
      </w:r>
      <w:r w:rsidRPr="00A05D10">
        <w:rPr>
          <w:i/>
          <w:iCs/>
          <w:color w:val="05103E"/>
          <w:bdr w:val="single" w:sz="2" w:space="0" w:color="ECEDEE" w:frame="1"/>
        </w:rPr>
        <w:t>European Journal of Public Health</w:t>
      </w:r>
      <w:r w:rsidRPr="00A05D10">
        <w:rPr>
          <w:color w:val="05103E"/>
        </w:rPr>
        <w:t>, </w:t>
      </w:r>
      <w:r w:rsidRPr="00A05D10">
        <w:rPr>
          <w:i/>
          <w:iCs/>
          <w:color w:val="05103E"/>
          <w:bdr w:val="single" w:sz="2" w:space="0" w:color="ECEDEE" w:frame="1"/>
        </w:rPr>
        <w:t>26</w:t>
      </w:r>
      <w:r w:rsidRPr="00A05D10">
        <w:rPr>
          <w:color w:val="05103E"/>
        </w:rPr>
        <w:t>(4), 712–717. </w:t>
      </w:r>
      <w:hyperlink r:id="rId54" w:history="1">
        <w:r w:rsidRPr="00A05D10">
          <w:rPr>
            <w:rStyle w:val="Hyperlink"/>
            <w:bdr w:val="single" w:sz="2" w:space="0" w:color="ECEDEE" w:frame="1"/>
          </w:rPr>
          <w:t>https://doi.org/10.1093/eurpub/ckv217</w:t>
        </w:r>
      </w:hyperlink>
      <w:r w:rsidR="00A05D10">
        <w:rPr>
          <w:rFonts w:eastAsia="CIDFont+F1"/>
          <w:color w:val="000000"/>
        </w:rPr>
        <w:t xml:space="preserve"> </w:t>
      </w:r>
    </w:p>
    <w:p w:rsidR="00A05D10" w:rsidRDefault="004639B1" w:rsidP="00F37773">
      <w:pPr>
        <w:numPr>
          <w:ilvl w:val="0"/>
          <w:numId w:val="2"/>
        </w:numPr>
        <w:autoSpaceDE w:val="0"/>
        <w:autoSpaceDN w:val="0"/>
        <w:adjustRightInd w:val="0"/>
        <w:spacing w:after="160"/>
        <w:ind w:left="426" w:hanging="426"/>
        <w:jc w:val="both"/>
        <w:rPr>
          <w:rFonts w:eastAsia="CIDFont+F1"/>
          <w:color w:val="000000"/>
        </w:rPr>
      </w:pPr>
      <w:r w:rsidRPr="00A05D10">
        <w:rPr>
          <w:color w:val="05103E"/>
        </w:rPr>
        <w:t xml:space="preserve">Holmes, A. L., Joyce, K., </w:t>
      </w:r>
      <w:proofErr w:type="spellStart"/>
      <w:r w:rsidRPr="00A05D10">
        <w:rPr>
          <w:color w:val="05103E"/>
        </w:rPr>
        <w:t>Xie</w:t>
      </w:r>
      <w:proofErr w:type="spellEnd"/>
      <w:r w:rsidRPr="00A05D10">
        <w:rPr>
          <w:color w:val="05103E"/>
        </w:rPr>
        <w:t xml:space="preserve">, H., </w:t>
      </w:r>
      <w:proofErr w:type="spellStart"/>
      <w:r w:rsidRPr="00A05D10">
        <w:rPr>
          <w:color w:val="05103E"/>
        </w:rPr>
        <w:t>Falank</w:t>
      </w:r>
      <w:proofErr w:type="spellEnd"/>
      <w:r w:rsidRPr="00A05D10">
        <w:rPr>
          <w:color w:val="05103E"/>
        </w:rPr>
        <w:t xml:space="preserve">, C., </w:t>
      </w:r>
      <w:proofErr w:type="spellStart"/>
      <w:r w:rsidRPr="00A05D10">
        <w:rPr>
          <w:color w:val="05103E"/>
        </w:rPr>
        <w:t>Hinz</w:t>
      </w:r>
      <w:proofErr w:type="spellEnd"/>
      <w:r w:rsidRPr="00A05D10">
        <w:rPr>
          <w:color w:val="05103E"/>
        </w:rPr>
        <w:t xml:space="preserve">, J. M., &amp; Wise, J. P. (2014). The impact of homologous recombination repair deficiency on depleted uranium </w:t>
      </w:r>
      <w:proofErr w:type="spellStart"/>
      <w:r w:rsidRPr="00A05D10">
        <w:rPr>
          <w:color w:val="05103E"/>
        </w:rPr>
        <w:t>clastogenicity</w:t>
      </w:r>
      <w:proofErr w:type="spellEnd"/>
      <w:r w:rsidRPr="00A05D10">
        <w:rPr>
          <w:color w:val="05103E"/>
        </w:rPr>
        <w:t xml:space="preserve"> in Chinese hamster ovary cells: XRCC3 protects cells from chromosome aberrations, but increases chromosome fragmentation. </w:t>
      </w:r>
      <w:r w:rsidRPr="00A05D10">
        <w:rPr>
          <w:i/>
          <w:iCs/>
          <w:color w:val="05103E"/>
          <w:bdr w:val="single" w:sz="2" w:space="0" w:color="ECEDEE" w:frame="1"/>
        </w:rPr>
        <w:t>Mutation Research/Fundamental and Molecular Mechanisms of Mutagenesis</w:t>
      </w:r>
      <w:r w:rsidRPr="00A05D10">
        <w:rPr>
          <w:color w:val="05103E"/>
        </w:rPr>
        <w:t>, </w:t>
      </w:r>
      <w:r w:rsidRPr="00A05D10">
        <w:rPr>
          <w:i/>
          <w:iCs/>
          <w:color w:val="05103E"/>
          <w:bdr w:val="single" w:sz="2" w:space="0" w:color="ECEDEE" w:frame="1"/>
        </w:rPr>
        <w:t>762</w:t>
      </w:r>
      <w:r w:rsidRPr="00A05D10">
        <w:rPr>
          <w:color w:val="05103E"/>
        </w:rPr>
        <w:t>, 1–9.  </w:t>
      </w:r>
      <w:hyperlink r:id="rId55" w:history="1">
        <w:r w:rsidRPr="00A05D10">
          <w:rPr>
            <w:rStyle w:val="Hyperlink"/>
            <w:bdr w:val="single" w:sz="2" w:space="0" w:color="ECEDEE" w:frame="1"/>
          </w:rPr>
          <w:t>https://doi.org/10.1016/j.mrfmmm.2014.02.001</w:t>
        </w:r>
      </w:hyperlink>
      <w:r w:rsidR="00A05D10">
        <w:rPr>
          <w:rFonts w:eastAsia="CIDFont+F1"/>
          <w:color w:val="000000"/>
        </w:rPr>
        <w:t xml:space="preserve"> </w:t>
      </w:r>
    </w:p>
    <w:p w:rsidR="00A05D10" w:rsidRPr="00A05D10" w:rsidRDefault="004639B1" w:rsidP="00F37773">
      <w:pPr>
        <w:numPr>
          <w:ilvl w:val="0"/>
          <w:numId w:val="2"/>
        </w:numPr>
        <w:autoSpaceDE w:val="0"/>
        <w:autoSpaceDN w:val="0"/>
        <w:adjustRightInd w:val="0"/>
        <w:spacing w:after="160"/>
        <w:ind w:left="426" w:hanging="426"/>
        <w:jc w:val="both"/>
        <w:rPr>
          <w:rStyle w:val="Hyperlink"/>
          <w:rFonts w:eastAsia="CIDFont+F1"/>
          <w:color w:val="000000"/>
          <w:u w:val="none"/>
        </w:rPr>
      </w:pPr>
      <w:proofErr w:type="spellStart"/>
      <w:r w:rsidRPr="00A05D10">
        <w:rPr>
          <w:color w:val="05103E"/>
        </w:rPr>
        <w:t>Talapko</w:t>
      </w:r>
      <w:proofErr w:type="spellEnd"/>
      <w:r w:rsidRPr="00A05D10">
        <w:rPr>
          <w:color w:val="05103E"/>
        </w:rPr>
        <w:t xml:space="preserve">, J., </w:t>
      </w:r>
      <w:proofErr w:type="spellStart"/>
      <w:r w:rsidRPr="00A05D10">
        <w:rPr>
          <w:color w:val="05103E"/>
        </w:rPr>
        <w:t>Talapko</w:t>
      </w:r>
      <w:proofErr w:type="spellEnd"/>
      <w:r w:rsidRPr="00A05D10">
        <w:rPr>
          <w:color w:val="05103E"/>
        </w:rPr>
        <w:t xml:space="preserve">, D., </w:t>
      </w:r>
      <w:proofErr w:type="spellStart"/>
      <w:r w:rsidRPr="00A05D10">
        <w:rPr>
          <w:color w:val="05103E"/>
        </w:rPr>
        <w:t>Katalinić</w:t>
      </w:r>
      <w:proofErr w:type="spellEnd"/>
      <w:r w:rsidRPr="00A05D10">
        <w:rPr>
          <w:color w:val="05103E"/>
        </w:rPr>
        <w:t xml:space="preserve">, D., </w:t>
      </w:r>
      <w:proofErr w:type="spellStart"/>
      <w:r w:rsidRPr="00A05D10">
        <w:rPr>
          <w:color w:val="05103E"/>
        </w:rPr>
        <w:t>Kotris</w:t>
      </w:r>
      <w:proofErr w:type="spellEnd"/>
      <w:r w:rsidRPr="00A05D10">
        <w:rPr>
          <w:color w:val="05103E"/>
        </w:rPr>
        <w:t xml:space="preserve">, I., </w:t>
      </w:r>
      <w:proofErr w:type="spellStart"/>
      <w:r w:rsidRPr="00A05D10">
        <w:rPr>
          <w:color w:val="05103E"/>
        </w:rPr>
        <w:t>Erić</w:t>
      </w:r>
      <w:proofErr w:type="spellEnd"/>
      <w:r w:rsidRPr="00A05D10">
        <w:rPr>
          <w:color w:val="05103E"/>
        </w:rPr>
        <w:t xml:space="preserve">, I., </w:t>
      </w:r>
      <w:proofErr w:type="spellStart"/>
      <w:r w:rsidRPr="00A05D10">
        <w:rPr>
          <w:color w:val="05103E"/>
        </w:rPr>
        <w:t>Belić</w:t>
      </w:r>
      <w:proofErr w:type="spellEnd"/>
      <w:r w:rsidRPr="00A05D10">
        <w:rPr>
          <w:color w:val="05103E"/>
        </w:rPr>
        <w:t xml:space="preserve">, D., </w:t>
      </w:r>
      <w:proofErr w:type="spellStart"/>
      <w:r w:rsidRPr="00A05D10">
        <w:rPr>
          <w:color w:val="05103E"/>
        </w:rPr>
        <w:t>Mihaljević</w:t>
      </w:r>
      <w:proofErr w:type="spellEnd"/>
      <w:r w:rsidRPr="00A05D10">
        <w:rPr>
          <w:color w:val="05103E"/>
        </w:rPr>
        <w:t xml:space="preserve">, M. V., </w:t>
      </w:r>
      <w:proofErr w:type="spellStart"/>
      <w:r w:rsidRPr="00A05D10">
        <w:rPr>
          <w:color w:val="05103E"/>
        </w:rPr>
        <w:t>Vasilj</w:t>
      </w:r>
      <w:proofErr w:type="spellEnd"/>
      <w:r w:rsidRPr="00A05D10">
        <w:rPr>
          <w:color w:val="05103E"/>
        </w:rPr>
        <w:t xml:space="preserve">, A., </w:t>
      </w:r>
      <w:proofErr w:type="spellStart"/>
      <w:r w:rsidRPr="00A05D10">
        <w:rPr>
          <w:color w:val="05103E"/>
        </w:rPr>
        <w:t>Erić</w:t>
      </w:r>
      <w:proofErr w:type="spellEnd"/>
      <w:r w:rsidRPr="00A05D10">
        <w:rPr>
          <w:color w:val="05103E"/>
        </w:rPr>
        <w:t xml:space="preserve">, S., Flam, J., </w:t>
      </w:r>
      <w:proofErr w:type="spellStart"/>
      <w:r w:rsidRPr="00A05D10">
        <w:rPr>
          <w:color w:val="05103E"/>
        </w:rPr>
        <w:t>Bekić</w:t>
      </w:r>
      <w:proofErr w:type="spellEnd"/>
      <w:r w:rsidRPr="00A05D10">
        <w:rPr>
          <w:color w:val="05103E"/>
        </w:rPr>
        <w:t xml:space="preserve">, S., Matić, S., &amp; </w:t>
      </w:r>
      <w:proofErr w:type="spellStart"/>
      <w:r w:rsidRPr="00A05D10">
        <w:rPr>
          <w:color w:val="05103E"/>
        </w:rPr>
        <w:t>Škrlec</w:t>
      </w:r>
      <w:proofErr w:type="spellEnd"/>
      <w:r w:rsidRPr="00A05D10">
        <w:rPr>
          <w:color w:val="05103E"/>
        </w:rPr>
        <w:t>, I. (2024). Health effects of ionizing radiation on the human body. </w:t>
      </w:r>
      <w:proofErr w:type="spellStart"/>
      <w:r w:rsidRPr="00A05D10">
        <w:rPr>
          <w:i/>
          <w:iCs/>
          <w:color w:val="05103E"/>
          <w:bdr w:val="single" w:sz="2" w:space="0" w:color="ECEDEE" w:frame="1"/>
        </w:rPr>
        <w:t>Medicina</w:t>
      </w:r>
      <w:proofErr w:type="spellEnd"/>
      <w:r w:rsidRPr="00A05D10">
        <w:rPr>
          <w:color w:val="05103E"/>
        </w:rPr>
        <w:t>, </w:t>
      </w:r>
      <w:r w:rsidRPr="00A05D10">
        <w:rPr>
          <w:i/>
          <w:iCs/>
          <w:color w:val="05103E"/>
          <w:bdr w:val="single" w:sz="2" w:space="0" w:color="ECEDEE" w:frame="1"/>
        </w:rPr>
        <w:t>60</w:t>
      </w:r>
      <w:r w:rsidRPr="00A05D10">
        <w:rPr>
          <w:color w:val="05103E"/>
        </w:rPr>
        <w:t>(4), 653. </w:t>
      </w:r>
      <w:hyperlink r:id="rId56" w:history="1">
        <w:r w:rsidRPr="00A05D10">
          <w:rPr>
            <w:rStyle w:val="Hyperlink"/>
            <w:bdr w:val="single" w:sz="2" w:space="0" w:color="ECEDEE" w:frame="1"/>
          </w:rPr>
          <w:t>https://doi.org/10.3390/medicina60040653</w:t>
        </w:r>
      </w:hyperlink>
      <w:r w:rsidR="00A05D10">
        <w:rPr>
          <w:rStyle w:val="Hyperlink"/>
          <w:bdr w:val="single" w:sz="2" w:space="0" w:color="ECEDEE" w:frame="1"/>
        </w:rPr>
        <w:t xml:space="preserve"> </w:t>
      </w:r>
    </w:p>
    <w:p w:rsidR="00A05D10" w:rsidRDefault="004639B1" w:rsidP="00F37773">
      <w:pPr>
        <w:numPr>
          <w:ilvl w:val="0"/>
          <w:numId w:val="2"/>
        </w:numPr>
        <w:autoSpaceDE w:val="0"/>
        <w:autoSpaceDN w:val="0"/>
        <w:adjustRightInd w:val="0"/>
        <w:spacing w:after="160"/>
        <w:ind w:left="426" w:hanging="426"/>
        <w:jc w:val="both"/>
        <w:rPr>
          <w:rFonts w:eastAsia="CIDFont+F1"/>
          <w:color w:val="000000"/>
        </w:rPr>
      </w:pPr>
      <w:r w:rsidRPr="00A05D10">
        <w:rPr>
          <w:rFonts w:asciiTheme="majorBidi" w:hAnsiTheme="majorBidi" w:cstheme="majorBidi"/>
          <w:color w:val="05103E"/>
        </w:rPr>
        <w:t>Al-</w:t>
      </w:r>
      <w:proofErr w:type="spellStart"/>
      <w:r w:rsidRPr="00A05D10">
        <w:rPr>
          <w:rFonts w:asciiTheme="majorBidi" w:hAnsiTheme="majorBidi" w:cstheme="majorBidi"/>
          <w:color w:val="05103E"/>
        </w:rPr>
        <w:t>Jameel</w:t>
      </w:r>
      <w:proofErr w:type="spellEnd"/>
      <w:r w:rsidRPr="00A05D10">
        <w:rPr>
          <w:rFonts w:asciiTheme="majorBidi" w:hAnsiTheme="majorBidi" w:cstheme="majorBidi"/>
          <w:color w:val="05103E"/>
        </w:rPr>
        <w:t xml:space="preserve">, L. S., Ahmed, R. S., &amp; </w:t>
      </w:r>
      <w:proofErr w:type="spellStart"/>
      <w:r w:rsidRPr="00A05D10">
        <w:rPr>
          <w:rFonts w:asciiTheme="majorBidi" w:hAnsiTheme="majorBidi" w:cstheme="majorBidi"/>
          <w:color w:val="05103E"/>
        </w:rPr>
        <w:t>Shamran</w:t>
      </w:r>
      <w:proofErr w:type="spellEnd"/>
      <w:r w:rsidRPr="00A05D10">
        <w:rPr>
          <w:rFonts w:asciiTheme="majorBidi" w:hAnsiTheme="majorBidi" w:cstheme="majorBidi"/>
          <w:color w:val="05103E"/>
        </w:rPr>
        <w:t>, H. A. (2019). Ionizing Radiation Effect and DNA damage in the workers of Al-</w:t>
      </w:r>
      <w:proofErr w:type="spellStart"/>
      <w:r w:rsidRPr="00A05D10">
        <w:rPr>
          <w:rFonts w:asciiTheme="majorBidi" w:hAnsiTheme="majorBidi" w:cstheme="majorBidi"/>
          <w:color w:val="05103E"/>
        </w:rPr>
        <w:t>Tuwaitha</w:t>
      </w:r>
      <w:proofErr w:type="spellEnd"/>
      <w:r w:rsidRPr="00A05D10">
        <w:rPr>
          <w:rFonts w:asciiTheme="majorBidi" w:hAnsiTheme="majorBidi" w:cstheme="majorBidi"/>
          <w:color w:val="05103E"/>
        </w:rPr>
        <w:t xml:space="preserve"> Nuclear Site. </w:t>
      </w:r>
      <w:r w:rsidRPr="00A05D10">
        <w:rPr>
          <w:rFonts w:asciiTheme="majorBidi" w:hAnsiTheme="majorBidi" w:cstheme="majorBidi"/>
          <w:i/>
          <w:iCs/>
          <w:color w:val="05103E"/>
          <w:bdr w:val="single" w:sz="2" w:space="0" w:color="ECEDEE" w:frame="1"/>
        </w:rPr>
        <w:t>Iraqi Journal of Science</w:t>
      </w:r>
      <w:r w:rsidRPr="00A05D10">
        <w:rPr>
          <w:rFonts w:asciiTheme="majorBidi" w:hAnsiTheme="majorBidi" w:cstheme="majorBidi"/>
          <w:color w:val="05103E"/>
        </w:rPr>
        <w:t>, 2636–2641. </w:t>
      </w:r>
      <w:hyperlink r:id="rId57" w:history="1">
        <w:r w:rsidRPr="00A05D10">
          <w:rPr>
            <w:rStyle w:val="Hyperlink"/>
            <w:rFonts w:asciiTheme="majorBidi" w:hAnsiTheme="majorBidi" w:cstheme="majorBidi"/>
            <w:bdr w:val="single" w:sz="2" w:space="0" w:color="ECEDEE" w:frame="1"/>
          </w:rPr>
          <w:t>https://doi.org/10.24996/ijs.2019.60.12.12</w:t>
        </w:r>
      </w:hyperlink>
      <w:r w:rsidR="00A05D10">
        <w:rPr>
          <w:rFonts w:eastAsia="CIDFont+F1"/>
          <w:color w:val="000000"/>
        </w:rPr>
        <w:t xml:space="preserve"> </w:t>
      </w:r>
    </w:p>
    <w:p w:rsidR="000D06B3" w:rsidRDefault="0041287C" w:rsidP="00F37773">
      <w:pPr>
        <w:numPr>
          <w:ilvl w:val="0"/>
          <w:numId w:val="2"/>
        </w:numPr>
        <w:autoSpaceDE w:val="0"/>
        <w:autoSpaceDN w:val="0"/>
        <w:adjustRightInd w:val="0"/>
        <w:spacing w:after="160"/>
        <w:ind w:left="426" w:hanging="426"/>
        <w:jc w:val="both"/>
        <w:rPr>
          <w:rFonts w:eastAsia="CIDFont+F1"/>
          <w:color w:val="000000"/>
        </w:rPr>
      </w:pPr>
      <w:proofErr w:type="spellStart"/>
      <w:r w:rsidRPr="00A05D10">
        <w:rPr>
          <w:rFonts w:asciiTheme="majorBidi" w:hAnsiTheme="majorBidi" w:cstheme="majorBidi"/>
          <w:color w:val="05103E"/>
        </w:rPr>
        <w:t>Behjati</w:t>
      </w:r>
      <w:proofErr w:type="spellEnd"/>
      <w:r w:rsidRPr="00A05D10">
        <w:rPr>
          <w:rFonts w:asciiTheme="majorBidi" w:hAnsiTheme="majorBidi" w:cstheme="majorBidi"/>
          <w:color w:val="05103E"/>
        </w:rPr>
        <w:t xml:space="preserve">, S., </w:t>
      </w:r>
      <w:proofErr w:type="spellStart"/>
      <w:r w:rsidRPr="00A05D10">
        <w:rPr>
          <w:rFonts w:asciiTheme="majorBidi" w:hAnsiTheme="majorBidi" w:cstheme="majorBidi"/>
          <w:color w:val="05103E"/>
        </w:rPr>
        <w:t>Gundem</w:t>
      </w:r>
      <w:proofErr w:type="spellEnd"/>
      <w:r w:rsidRPr="00A05D10">
        <w:rPr>
          <w:rFonts w:asciiTheme="majorBidi" w:hAnsiTheme="majorBidi" w:cstheme="majorBidi"/>
          <w:color w:val="05103E"/>
        </w:rPr>
        <w:t xml:space="preserve">, G., Wedge, D. C., Roberts, N. D., </w:t>
      </w:r>
      <w:proofErr w:type="spellStart"/>
      <w:r w:rsidRPr="00A05D10">
        <w:rPr>
          <w:rFonts w:asciiTheme="majorBidi" w:hAnsiTheme="majorBidi" w:cstheme="majorBidi"/>
          <w:color w:val="05103E"/>
        </w:rPr>
        <w:t>Tarpey</w:t>
      </w:r>
      <w:proofErr w:type="spellEnd"/>
      <w:r w:rsidRPr="00A05D10">
        <w:rPr>
          <w:rFonts w:asciiTheme="majorBidi" w:hAnsiTheme="majorBidi" w:cstheme="majorBidi"/>
          <w:color w:val="05103E"/>
        </w:rPr>
        <w:t xml:space="preserve">, P. S., Cooke, S. L., Van Loo, P., </w:t>
      </w:r>
      <w:proofErr w:type="spellStart"/>
      <w:r w:rsidRPr="00A05D10">
        <w:rPr>
          <w:rFonts w:asciiTheme="majorBidi" w:hAnsiTheme="majorBidi" w:cstheme="majorBidi"/>
          <w:color w:val="05103E"/>
        </w:rPr>
        <w:t>Alexandrov</w:t>
      </w:r>
      <w:proofErr w:type="spellEnd"/>
      <w:r w:rsidRPr="00A05D10">
        <w:rPr>
          <w:rFonts w:asciiTheme="majorBidi" w:hAnsiTheme="majorBidi" w:cstheme="majorBidi"/>
          <w:color w:val="05103E"/>
        </w:rPr>
        <w:t xml:space="preserve">, L. B., Ramakrishna, M., Davies, H., Nik-Zainal, S., Hardy, C., Latimer, C., </w:t>
      </w:r>
      <w:proofErr w:type="spellStart"/>
      <w:r w:rsidRPr="00A05D10">
        <w:rPr>
          <w:rFonts w:asciiTheme="majorBidi" w:hAnsiTheme="majorBidi" w:cstheme="majorBidi"/>
          <w:color w:val="05103E"/>
        </w:rPr>
        <w:t>Raine</w:t>
      </w:r>
      <w:proofErr w:type="spellEnd"/>
      <w:r w:rsidRPr="00A05D10">
        <w:rPr>
          <w:rFonts w:asciiTheme="majorBidi" w:hAnsiTheme="majorBidi" w:cstheme="majorBidi"/>
          <w:color w:val="05103E"/>
        </w:rPr>
        <w:t xml:space="preserve">, K. M., </w:t>
      </w:r>
      <w:proofErr w:type="spellStart"/>
      <w:r w:rsidRPr="00A05D10">
        <w:rPr>
          <w:rFonts w:asciiTheme="majorBidi" w:hAnsiTheme="majorBidi" w:cstheme="majorBidi"/>
          <w:color w:val="05103E"/>
        </w:rPr>
        <w:t>Stebbings</w:t>
      </w:r>
      <w:proofErr w:type="spellEnd"/>
      <w:r w:rsidRPr="00A05D10">
        <w:rPr>
          <w:rFonts w:asciiTheme="majorBidi" w:hAnsiTheme="majorBidi" w:cstheme="majorBidi"/>
          <w:color w:val="05103E"/>
        </w:rPr>
        <w:t>, L., Menzies, A., Jones, D., Shepherd, R., Butler, A. P., . . . Campbell, P. J. (2016). Mutational signatures of ionizing radiation in second malignancies. </w:t>
      </w:r>
      <w:r w:rsidRPr="00A05D10">
        <w:rPr>
          <w:rFonts w:asciiTheme="majorBidi" w:hAnsiTheme="majorBidi" w:cstheme="majorBidi"/>
          <w:i/>
          <w:iCs/>
          <w:color w:val="05103E"/>
          <w:bdr w:val="single" w:sz="2" w:space="0" w:color="ECEDEE" w:frame="1"/>
        </w:rPr>
        <w:t>Nature Communications</w:t>
      </w:r>
      <w:r w:rsidRPr="00A05D10">
        <w:rPr>
          <w:rFonts w:asciiTheme="majorBidi" w:hAnsiTheme="majorBidi" w:cstheme="majorBidi"/>
          <w:color w:val="05103E"/>
        </w:rPr>
        <w:t>, </w:t>
      </w:r>
      <w:r w:rsidRPr="00A05D10">
        <w:rPr>
          <w:rFonts w:asciiTheme="majorBidi" w:hAnsiTheme="majorBidi" w:cstheme="majorBidi"/>
          <w:i/>
          <w:iCs/>
          <w:color w:val="05103E"/>
          <w:bdr w:val="single" w:sz="2" w:space="0" w:color="ECEDEE" w:frame="1"/>
        </w:rPr>
        <w:t>7</w:t>
      </w:r>
      <w:r w:rsidRPr="00A05D10">
        <w:rPr>
          <w:rFonts w:asciiTheme="majorBidi" w:hAnsiTheme="majorBidi" w:cstheme="majorBidi"/>
          <w:color w:val="05103E"/>
        </w:rPr>
        <w:t>(1).  </w:t>
      </w:r>
      <w:hyperlink r:id="rId58" w:history="1">
        <w:r w:rsidR="00A05D10" w:rsidRPr="00935CC6">
          <w:rPr>
            <w:rStyle w:val="Hyperlink"/>
            <w:rFonts w:asciiTheme="majorBidi" w:hAnsiTheme="majorBidi" w:cstheme="majorBidi"/>
            <w:bdr w:val="single" w:sz="2" w:space="0" w:color="ECEDEE" w:frame="1"/>
          </w:rPr>
          <w:t>https://doi.org/10.1038/ncomms12605</w:t>
        </w:r>
      </w:hyperlink>
      <w:r w:rsidR="00A05D10">
        <w:rPr>
          <w:rFonts w:eastAsia="CIDFont+F1"/>
          <w:color w:val="000000"/>
        </w:rPr>
        <w:t xml:space="preserve"> </w:t>
      </w:r>
    </w:p>
    <w:p w:rsidR="00A05D10" w:rsidRDefault="00A05D10" w:rsidP="00A05D10">
      <w:pPr>
        <w:autoSpaceDE w:val="0"/>
        <w:autoSpaceDN w:val="0"/>
        <w:adjustRightInd w:val="0"/>
        <w:spacing w:after="160"/>
        <w:ind w:left="360"/>
        <w:jc w:val="both"/>
        <w:rPr>
          <w:rFonts w:asciiTheme="majorBidi" w:hAnsiTheme="majorBidi" w:cstheme="majorBidi"/>
          <w:color w:val="05103E"/>
        </w:rPr>
      </w:pPr>
    </w:p>
    <w:p w:rsidR="00A05D10" w:rsidRPr="00A05D10" w:rsidRDefault="00A05D10" w:rsidP="00A05D10">
      <w:pPr>
        <w:autoSpaceDE w:val="0"/>
        <w:autoSpaceDN w:val="0"/>
        <w:adjustRightInd w:val="0"/>
        <w:spacing w:after="160"/>
        <w:ind w:left="360"/>
        <w:jc w:val="both"/>
        <w:rPr>
          <w:rFonts w:eastAsia="CIDFont+F1"/>
          <w:color w:val="000000"/>
        </w:rPr>
      </w:pPr>
    </w:p>
    <w:p w:rsidR="000D06B3" w:rsidRPr="00DC4F89" w:rsidRDefault="000D06B3" w:rsidP="00377844">
      <w:pPr>
        <w:autoSpaceDE w:val="0"/>
        <w:autoSpaceDN w:val="0"/>
        <w:adjustRightInd w:val="0"/>
        <w:spacing w:after="160"/>
        <w:jc w:val="both"/>
        <w:rPr>
          <w:rFonts w:eastAsia="CIDFont+F1"/>
          <w:color w:val="000000"/>
        </w:rPr>
      </w:pPr>
    </w:p>
    <w:p w:rsidR="000D06B3" w:rsidRPr="00DC4F89" w:rsidRDefault="000D06B3" w:rsidP="00377844">
      <w:pPr>
        <w:autoSpaceDE w:val="0"/>
        <w:autoSpaceDN w:val="0"/>
        <w:adjustRightInd w:val="0"/>
        <w:spacing w:after="160"/>
        <w:ind w:left="720"/>
        <w:jc w:val="both"/>
        <w:rPr>
          <w:rFonts w:eastAsia="CIDFont+F1"/>
          <w:color w:val="000000"/>
        </w:rPr>
      </w:pPr>
    </w:p>
    <w:p w:rsidR="006458BE" w:rsidRDefault="006458BE" w:rsidP="00377844">
      <w:pPr>
        <w:widowControl w:val="0"/>
        <w:autoSpaceDE w:val="0"/>
        <w:autoSpaceDN w:val="0"/>
        <w:adjustRightInd w:val="0"/>
        <w:ind w:left="426" w:hanging="426"/>
        <w:jc w:val="both"/>
        <w:rPr>
          <w:color w:val="000000"/>
        </w:rPr>
      </w:pPr>
    </w:p>
    <w:p w:rsidR="00DC4F89" w:rsidRDefault="00DC4F89" w:rsidP="00377844">
      <w:pPr>
        <w:widowControl w:val="0"/>
        <w:autoSpaceDE w:val="0"/>
        <w:autoSpaceDN w:val="0"/>
        <w:adjustRightInd w:val="0"/>
        <w:ind w:left="426" w:hanging="426"/>
        <w:jc w:val="both"/>
        <w:rPr>
          <w:color w:val="000000"/>
        </w:rPr>
      </w:pPr>
    </w:p>
    <w:p w:rsidR="00DC4F89" w:rsidRDefault="00DC4F89" w:rsidP="00377844">
      <w:pPr>
        <w:widowControl w:val="0"/>
        <w:autoSpaceDE w:val="0"/>
        <w:autoSpaceDN w:val="0"/>
        <w:adjustRightInd w:val="0"/>
        <w:ind w:left="426" w:hanging="426"/>
        <w:jc w:val="both"/>
        <w:rPr>
          <w:color w:val="000000"/>
        </w:rPr>
      </w:pPr>
    </w:p>
    <w:p w:rsidR="00DC4F89" w:rsidRDefault="00DC4F89" w:rsidP="00377844">
      <w:pPr>
        <w:widowControl w:val="0"/>
        <w:autoSpaceDE w:val="0"/>
        <w:autoSpaceDN w:val="0"/>
        <w:adjustRightInd w:val="0"/>
        <w:ind w:left="426" w:hanging="426"/>
        <w:jc w:val="both"/>
        <w:rPr>
          <w:color w:val="000000"/>
        </w:rPr>
      </w:pPr>
    </w:p>
    <w:p w:rsidR="00DC4F89" w:rsidRDefault="00DC4F89" w:rsidP="00377844">
      <w:pPr>
        <w:widowControl w:val="0"/>
        <w:autoSpaceDE w:val="0"/>
        <w:autoSpaceDN w:val="0"/>
        <w:adjustRightInd w:val="0"/>
        <w:ind w:left="426" w:hanging="426"/>
        <w:jc w:val="both"/>
        <w:rPr>
          <w:color w:val="000000"/>
        </w:rPr>
      </w:pPr>
    </w:p>
    <w:p w:rsidR="00DC4F89" w:rsidRDefault="00DC4F89" w:rsidP="00377844">
      <w:pPr>
        <w:widowControl w:val="0"/>
        <w:autoSpaceDE w:val="0"/>
        <w:autoSpaceDN w:val="0"/>
        <w:adjustRightInd w:val="0"/>
        <w:ind w:left="426" w:hanging="426"/>
        <w:jc w:val="both"/>
        <w:rPr>
          <w:color w:val="000000"/>
        </w:rPr>
      </w:pPr>
    </w:p>
    <w:p w:rsidR="00DC4F89" w:rsidRDefault="00DC4F89" w:rsidP="00377844">
      <w:pPr>
        <w:widowControl w:val="0"/>
        <w:autoSpaceDE w:val="0"/>
        <w:autoSpaceDN w:val="0"/>
        <w:adjustRightInd w:val="0"/>
        <w:ind w:left="426" w:hanging="426"/>
        <w:jc w:val="both"/>
        <w:rPr>
          <w:color w:val="000000"/>
        </w:rPr>
      </w:pPr>
    </w:p>
    <w:p w:rsidR="00DC4F89" w:rsidRDefault="00DC4F89" w:rsidP="00377844">
      <w:pPr>
        <w:widowControl w:val="0"/>
        <w:autoSpaceDE w:val="0"/>
        <w:autoSpaceDN w:val="0"/>
        <w:adjustRightInd w:val="0"/>
        <w:ind w:left="426" w:hanging="426"/>
        <w:jc w:val="both"/>
        <w:rPr>
          <w:color w:val="000000"/>
        </w:rPr>
      </w:pPr>
    </w:p>
    <w:p w:rsidR="00DC4F89" w:rsidRDefault="00DC4F89" w:rsidP="00377844">
      <w:pPr>
        <w:widowControl w:val="0"/>
        <w:autoSpaceDE w:val="0"/>
        <w:autoSpaceDN w:val="0"/>
        <w:adjustRightInd w:val="0"/>
        <w:ind w:left="426" w:hanging="426"/>
        <w:jc w:val="both"/>
        <w:rPr>
          <w:color w:val="000000"/>
        </w:rPr>
      </w:pPr>
    </w:p>
    <w:p w:rsidR="00DC4F89" w:rsidRPr="00DC4F89" w:rsidRDefault="00DC4F89" w:rsidP="00DC4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Theme="majorBidi" w:hAnsiTheme="majorBidi" w:cstheme="majorBidi"/>
          <w:b/>
          <w:bCs/>
          <w:color w:val="1F1F1F"/>
          <w:sz w:val="32"/>
          <w:szCs w:val="32"/>
        </w:rPr>
      </w:pPr>
      <w:r w:rsidRPr="00DC4F89">
        <w:rPr>
          <w:rFonts w:asciiTheme="majorBidi" w:hAnsiTheme="majorBidi" w:cstheme="majorBidi"/>
          <w:b/>
          <w:bCs/>
          <w:color w:val="1F1F1F"/>
          <w:sz w:val="32"/>
          <w:szCs w:val="32"/>
          <w:rtl/>
          <w:lang w:bidi="ar"/>
        </w:rPr>
        <w:t>تقييم مستويات تركيز اليورانيوم في عينات الدم من الموظفين العراقيين في موقع التويثة النووي</w:t>
      </w:r>
    </w:p>
    <w:p w:rsidR="00DC4F89" w:rsidRPr="00DC4F89" w:rsidRDefault="00DC4F89" w:rsidP="00DC4F89">
      <w:pPr>
        <w:widowControl w:val="0"/>
        <w:autoSpaceDE w:val="0"/>
        <w:autoSpaceDN w:val="0"/>
        <w:bidi/>
        <w:adjustRightInd w:val="0"/>
        <w:ind w:left="426" w:hanging="426"/>
        <w:rPr>
          <w:color w:val="000000"/>
          <w:lang w:bidi="ar-IQ"/>
        </w:rPr>
      </w:pPr>
    </w:p>
    <w:p w:rsidR="00DC4F89" w:rsidRPr="00DC4F89" w:rsidRDefault="00DC4F89" w:rsidP="00DC4F89">
      <w:pPr>
        <w:widowControl w:val="0"/>
        <w:autoSpaceDE w:val="0"/>
        <w:autoSpaceDN w:val="0"/>
        <w:bidi/>
        <w:adjustRightInd w:val="0"/>
        <w:ind w:left="426" w:hanging="426"/>
        <w:rPr>
          <w:color w:val="000000"/>
          <w:sz w:val="12"/>
          <w:szCs w:val="12"/>
          <w:rtl/>
        </w:rPr>
      </w:pPr>
    </w:p>
    <w:p w:rsidR="00DC4F89" w:rsidRPr="00DC4F89" w:rsidRDefault="00DC4F89" w:rsidP="00DC4F89">
      <w:pPr>
        <w:widowControl w:val="0"/>
        <w:autoSpaceDE w:val="0"/>
        <w:autoSpaceDN w:val="0"/>
        <w:bidi/>
        <w:adjustRightInd w:val="0"/>
        <w:ind w:left="426" w:hanging="426"/>
        <w:rPr>
          <w:color w:val="000000"/>
          <w:sz w:val="12"/>
          <w:szCs w:val="12"/>
        </w:rPr>
      </w:pPr>
    </w:p>
    <w:p w:rsidR="00DC4F89" w:rsidRPr="00DC4F89" w:rsidRDefault="00DC4F89" w:rsidP="00DC4F89">
      <w:pPr>
        <w:bidi/>
        <w:spacing w:after="200"/>
        <w:jc w:val="lowKashida"/>
        <w:rPr>
          <w:rFonts w:ascii="Simplified Arabic" w:eastAsia="Calibri" w:hAnsi="Simplified Arabic" w:cs="Simplified Arabic"/>
          <w:b/>
          <w:bCs/>
          <w:sz w:val="28"/>
          <w:szCs w:val="28"/>
          <w:rtl/>
        </w:rPr>
      </w:pPr>
      <w:r w:rsidRPr="00DC4F89">
        <w:rPr>
          <w:rFonts w:ascii="Simplified Arabic" w:eastAsia="Calibri" w:hAnsi="Simplified Arabic" w:cs="Simplified Arabic" w:hint="cs"/>
          <w:b/>
          <w:bCs/>
          <w:sz w:val="28"/>
          <w:szCs w:val="28"/>
          <w:rtl/>
        </w:rPr>
        <w:t>ال</w:t>
      </w:r>
      <w:r>
        <w:rPr>
          <w:rFonts w:ascii="Simplified Arabic" w:eastAsia="Calibri" w:hAnsi="Simplified Arabic" w:cs="Simplified Arabic" w:hint="cs"/>
          <w:b/>
          <w:bCs/>
          <w:sz w:val="28"/>
          <w:szCs w:val="28"/>
          <w:rtl/>
        </w:rPr>
        <w:t>ـ</w:t>
      </w:r>
      <w:r w:rsidRPr="00DC4F89">
        <w:rPr>
          <w:rFonts w:ascii="Simplified Arabic" w:eastAsia="Calibri" w:hAnsi="Simplified Arabic" w:cs="Simplified Arabic" w:hint="cs"/>
          <w:b/>
          <w:bCs/>
          <w:sz w:val="28"/>
          <w:szCs w:val="28"/>
          <w:rtl/>
        </w:rPr>
        <w:t>خ</w:t>
      </w:r>
      <w:r>
        <w:rPr>
          <w:rFonts w:ascii="Simplified Arabic" w:eastAsia="Calibri" w:hAnsi="Simplified Arabic" w:cs="Simplified Arabic" w:hint="cs"/>
          <w:b/>
          <w:bCs/>
          <w:sz w:val="28"/>
          <w:szCs w:val="28"/>
          <w:rtl/>
        </w:rPr>
        <w:t>ـ</w:t>
      </w:r>
      <w:r w:rsidRPr="00DC4F89">
        <w:rPr>
          <w:rFonts w:ascii="Simplified Arabic" w:eastAsia="Calibri" w:hAnsi="Simplified Arabic" w:cs="Simplified Arabic" w:hint="cs"/>
          <w:b/>
          <w:bCs/>
          <w:sz w:val="28"/>
          <w:szCs w:val="28"/>
          <w:rtl/>
        </w:rPr>
        <w:t>لاص</w:t>
      </w:r>
      <w:r>
        <w:rPr>
          <w:rFonts w:ascii="Simplified Arabic" w:eastAsia="Calibri" w:hAnsi="Simplified Arabic" w:cs="Simplified Arabic" w:hint="cs"/>
          <w:b/>
          <w:bCs/>
          <w:sz w:val="28"/>
          <w:szCs w:val="28"/>
          <w:rtl/>
        </w:rPr>
        <w:t>ـ</w:t>
      </w:r>
      <w:r w:rsidRPr="00DC4F89">
        <w:rPr>
          <w:rFonts w:ascii="Simplified Arabic" w:eastAsia="Calibri" w:hAnsi="Simplified Arabic" w:cs="Simplified Arabic" w:hint="cs"/>
          <w:b/>
          <w:bCs/>
          <w:sz w:val="28"/>
          <w:szCs w:val="28"/>
          <w:rtl/>
        </w:rPr>
        <w:t>ة</w:t>
      </w:r>
    </w:p>
    <w:p w:rsidR="0063080E" w:rsidRDefault="00DC4F89" w:rsidP="00BD0735">
      <w:pPr>
        <w:bidi/>
        <w:spacing w:after="200" w:line="360" w:lineRule="auto"/>
        <w:ind w:firstLine="720"/>
        <w:jc w:val="lowKashida"/>
        <w:rPr>
          <w:rFonts w:ascii="Simplified Arabic" w:eastAsia="Calibri" w:hAnsi="Simplified Arabic" w:cs="Simplified Arabic"/>
          <w:sz w:val="24"/>
          <w:szCs w:val="24"/>
        </w:rPr>
      </w:pPr>
      <w:r w:rsidRPr="00DC4F89">
        <w:rPr>
          <w:rFonts w:ascii="Simplified Arabic" w:eastAsia="Calibri" w:hAnsi="Simplified Arabic" w:cs="Simplified Arabic"/>
          <w:sz w:val="24"/>
          <w:szCs w:val="24"/>
          <w:rtl/>
        </w:rPr>
        <w:t xml:space="preserve">يمكن أن يؤدي التعرض لليورانيوم في البيئات المهنية أو المناطق المحيطة </w:t>
      </w:r>
      <w:r w:rsidRPr="00DC4F89">
        <w:rPr>
          <w:rFonts w:ascii="Simplified Arabic" w:eastAsia="Calibri" w:hAnsi="Simplified Arabic" w:cs="Simplified Arabic" w:hint="cs"/>
          <w:sz w:val="24"/>
          <w:szCs w:val="24"/>
          <w:rtl/>
        </w:rPr>
        <w:t>ل</w:t>
      </w:r>
      <w:r w:rsidRPr="00DC4F89">
        <w:rPr>
          <w:rFonts w:ascii="Simplified Arabic" w:eastAsia="Calibri" w:hAnsi="Simplified Arabic" w:cs="Simplified Arabic"/>
          <w:sz w:val="24"/>
          <w:szCs w:val="24"/>
          <w:rtl/>
        </w:rPr>
        <w:t>ها  إلى تلف خلوي وزيادة خطر الإصابة بالأورام السرطانية. هدفت هذه الدراسة إلى تحديد تركيز اليورانيوم باستخدام طريقة أثر الانشطار في عينات الدم لموظفي موقع التويثة، وهو موقع كان يستخدم سابقًا للنشاط النووي وقد يحتوي على كمية كبيرة من النفايات المشعة. يتعرض العاملون في هذه المنشأة لخطر التلوث بسبب البيئة</w:t>
      </w:r>
      <w:r w:rsidRPr="00DC4F89">
        <w:rPr>
          <w:rFonts w:ascii="Simplified Arabic" w:eastAsia="Calibri" w:hAnsi="Simplified Arabic" w:cs="Simplified Arabic" w:hint="cs"/>
          <w:sz w:val="24"/>
          <w:szCs w:val="24"/>
          <w:rtl/>
        </w:rPr>
        <w:t xml:space="preserve"> ذات التلوث العالي لليورانيوم </w:t>
      </w:r>
      <w:r w:rsidRPr="00DC4F89">
        <w:rPr>
          <w:rFonts w:ascii="Simplified Arabic" w:eastAsia="Calibri" w:hAnsi="Simplified Arabic" w:cs="Simplified Arabic"/>
          <w:sz w:val="24"/>
          <w:szCs w:val="24"/>
          <w:rtl/>
        </w:rPr>
        <w:t xml:space="preserve">. </w:t>
      </w:r>
    </w:p>
    <w:p w:rsidR="0063080E" w:rsidRDefault="00DC4F89" w:rsidP="0063080E">
      <w:pPr>
        <w:bidi/>
        <w:spacing w:after="200" w:line="360" w:lineRule="auto"/>
        <w:ind w:firstLine="720"/>
        <w:jc w:val="lowKashida"/>
        <w:rPr>
          <w:rFonts w:ascii="Simplified Arabic" w:eastAsia="Calibri" w:hAnsi="Simplified Arabic" w:cs="Simplified Arabic"/>
          <w:sz w:val="24"/>
          <w:szCs w:val="24"/>
        </w:rPr>
      </w:pPr>
      <w:r w:rsidRPr="00DC4F89">
        <w:rPr>
          <w:rFonts w:ascii="Simplified Arabic" w:eastAsia="Calibri" w:hAnsi="Simplified Arabic" w:cs="Simplified Arabic"/>
          <w:sz w:val="24"/>
          <w:szCs w:val="24"/>
          <w:rtl/>
        </w:rPr>
        <w:t xml:space="preserve">تم إجراء التحليل الإحصائي باستخدام برنامج </w:t>
      </w:r>
      <w:r w:rsidRPr="00DC4F89">
        <w:rPr>
          <w:rFonts w:ascii="Simplified Arabic" w:eastAsia="Calibri" w:hAnsi="Simplified Arabic" w:cs="Simplified Arabic"/>
          <w:sz w:val="24"/>
          <w:szCs w:val="24"/>
        </w:rPr>
        <w:t>SPSS</w:t>
      </w:r>
      <w:r w:rsidRPr="00DC4F89">
        <w:rPr>
          <w:rFonts w:ascii="Simplified Arabic" w:eastAsia="Calibri" w:hAnsi="Simplified Arabic" w:cs="Simplified Arabic"/>
          <w:sz w:val="24"/>
          <w:szCs w:val="24"/>
          <w:rtl/>
          <w:lang w:bidi="ar-IQ"/>
        </w:rPr>
        <w:t>,</w:t>
      </w:r>
      <w:r w:rsidRPr="00DC4F89">
        <w:rPr>
          <w:rFonts w:ascii="Simplified Arabic" w:eastAsia="Calibri" w:hAnsi="Simplified Arabic" w:cs="Simplified Arabic"/>
          <w:sz w:val="24"/>
          <w:szCs w:val="24"/>
          <w:rtl/>
        </w:rPr>
        <w:t xml:space="preserve"> حيث تم جمع </w:t>
      </w:r>
      <w:r w:rsidR="00BD0735">
        <w:rPr>
          <w:rFonts w:ascii="Simplified Arabic" w:eastAsia="Calibri" w:hAnsi="Simplified Arabic" w:cs="Simplified Arabic"/>
          <w:sz w:val="24"/>
          <w:szCs w:val="24"/>
        </w:rPr>
        <w:t>36</w:t>
      </w:r>
      <w:r w:rsidRPr="00DC4F89">
        <w:rPr>
          <w:rFonts w:ascii="Simplified Arabic" w:eastAsia="Calibri" w:hAnsi="Simplified Arabic" w:cs="Simplified Arabic"/>
          <w:sz w:val="24"/>
          <w:szCs w:val="24"/>
          <w:rtl/>
        </w:rPr>
        <w:t xml:space="preserve"> عينة دم من الموظفين العاملين في موقع التويثة، مقسمة إلى مجموعتين: </w:t>
      </w:r>
      <w:r w:rsidR="00BD0735">
        <w:rPr>
          <w:rFonts w:ascii="Simplified Arabic" w:eastAsia="Calibri" w:hAnsi="Simplified Arabic" w:cs="Simplified Arabic"/>
          <w:sz w:val="24"/>
          <w:szCs w:val="24"/>
        </w:rPr>
        <w:t>8</w:t>
      </w:r>
      <w:r w:rsidRPr="00DC4F89">
        <w:rPr>
          <w:rFonts w:ascii="Simplified Arabic" w:eastAsia="Calibri" w:hAnsi="Simplified Arabic" w:cs="Simplified Arabic"/>
          <w:sz w:val="24"/>
          <w:szCs w:val="24"/>
          <w:rtl/>
        </w:rPr>
        <w:t xml:space="preserve"> موظفين غير مستخدمين لمعدات الحماية و </w:t>
      </w:r>
      <w:r w:rsidR="00BD0735">
        <w:rPr>
          <w:rFonts w:ascii="Simplified Arabic" w:eastAsia="Calibri" w:hAnsi="Simplified Arabic" w:cs="Simplified Arabic"/>
          <w:sz w:val="24"/>
          <w:szCs w:val="24"/>
        </w:rPr>
        <w:t>28</w:t>
      </w:r>
      <w:r w:rsidRPr="00DC4F89">
        <w:rPr>
          <w:rFonts w:ascii="Simplified Arabic" w:eastAsia="Calibri" w:hAnsi="Simplified Arabic" w:cs="Simplified Arabic"/>
          <w:sz w:val="24"/>
          <w:szCs w:val="24"/>
          <w:rtl/>
        </w:rPr>
        <w:t xml:space="preserve"> موظفًا يستخدمون معدات الحماية ، بالإضافة إلى </w:t>
      </w:r>
      <w:r w:rsidR="00BD0735">
        <w:rPr>
          <w:rFonts w:ascii="Simplified Arabic" w:eastAsia="Calibri" w:hAnsi="Simplified Arabic" w:cs="Simplified Arabic"/>
          <w:sz w:val="24"/>
          <w:szCs w:val="24"/>
        </w:rPr>
        <w:t>30</w:t>
      </w:r>
      <w:r w:rsidRPr="00DC4F89">
        <w:rPr>
          <w:rFonts w:ascii="Simplified Arabic" w:eastAsia="Calibri" w:hAnsi="Simplified Arabic" w:cs="Simplified Arabic"/>
          <w:sz w:val="24"/>
          <w:szCs w:val="24"/>
          <w:rtl/>
        </w:rPr>
        <w:t xml:space="preserve"> فردًا </w:t>
      </w:r>
      <w:r w:rsidRPr="00DC4F89">
        <w:rPr>
          <w:rFonts w:ascii="Simplified Arabic" w:eastAsia="Calibri" w:hAnsi="Simplified Arabic" w:cs="Simplified Arabic" w:hint="cs"/>
          <w:sz w:val="24"/>
          <w:szCs w:val="24"/>
          <w:rtl/>
        </w:rPr>
        <w:t>من</w:t>
      </w:r>
      <w:r w:rsidRPr="00DC4F89">
        <w:rPr>
          <w:rFonts w:ascii="Simplified Arabic" w:eastAsia="Calibri" w:hAnsi="Simplified Arabic" w:cs="Simplified Arabic"/>
          <w:sz w:val="24"/>
          <w:szCs w:val="24"/>
          <w:rtl/>
        </w:rPr>
        <w:t xml:space="preserve"> مجموعة التحكم لم يكن لديهم أي تعرض مهني للإشعاع أو العمل في موقع التويثة النووي . تم استخدام كاشف</w:t>
      </w:r>
      <w:r w:rsidRPr="00DC4F89">
        <w:rPr>
          <w:rFonts w:ascii="Simplified Arabic" w:eastAsia="Calibri" w:hAnsi="Simplified Arabic" w:cs="Simplified Arabic" w:hint="cs"/>
          <w:sz w:val="24"/>
          <w:szCs w:val="24"/>
          <w:rtl/>
        </w:rPr>
        <w:t xml:space="preserve"> الأثر النووي</w:t>
      </w:r>
      <w:r w:rsidRPr="00DC4F89">
        <w:rPr>
          <w:rFonts w:ascii="Simplified Arabic" w:eastAsia="Calibri" w:hAnsi="Simplified Arabic" w:cs="Simplified Arabic"/>
          <w:sz w:val="24"/>
          <w:szCs w:val="24"/>
          <w:rtl/>
        </w:rPr>
        <w:t xml:space="preserve"> </w:t>
      </w:r>
      <w:r w:rsidRPr="00DC4F89">
        <w:rPr>
          <w:rFonts w:ascii="Simplified Arabic" w:eastAsia="Calibri" w:hAnsi="Simplified Arabic" w:cs="Simplified Arabic"/>
          <w:sz w:val="24"/>
          <w:szCs w:val="24"/>
        </w:rPr>
        <w:t>CR-39</w:t>
      </w:r>
      <w:r w:rsidRPr="00DC4F89">
        <w:rPr>
          <w:rFonts w:ascii="Simplified Arabic" w:eastAsia="Calibri" w:hAnsi="Simplified Arabic" w:cs="Simplified Arabic"/>
          <w:sz w:val="24"/>
          <w:szCs w:val="24"/>
          <w:rtl/>
        </w:rPr>
        <w:t xml:space="preserve"> لتقييم تركيز اليورانيوم في عينات الدم عن طريق وضع قطرة دم على الكاشف، تليها عملية حساب تركيز اليورانيوم من خلال عملية  تشعع كاشفات </w:t>
      </w:r>
      <w:r w:rsidRPr="00DC4F89">
        <w:rPr>
          <w:rFonts w:ascii="Simplified Arabic" w:eastAsia="Calibri" w:hAnsi="Simplified Arabic" w:cs="Simplified Arabic"/>
          <w:sz w:val="24"/>
          <w:szCs w:val="24"/>
        </w:rPr>
        <w:t>CR-39</w:t>
      </w:r>
      <w:r w:rsidRPr="00DC4F89">
        <w:rPr>
          <w:rFonts w:ascii="Simplified Arabic" w:eastAsia="Calibri" w:hAnsi="Simplified Arabic" w:cs="Simplified Arabic"/>
          <w:sz w:val="24"/>
          <w:szCs w:val="24"/>
          <w:rtl/>
        </w:rPr>
        <w:t xml:space="preserve"> بمصدر نيوتروني . </w:t>
      </w:r>
    </w:p>
    <w:p w:rsidR="005C599C" w:rsidRDefault="00DC4F89" w:rsidP="0063080E">
      <w:pPr>
        <w:bidi/>
        <w:spacing w:after="200" w:line="360" w:lineRule="auto"/>
        <w:ind w:firstLine="720"/>
        <w:jc w:val="lowKashida"/>
        <w:rPr>
          <w:rFonts w:ascii="Simplified Arabic" w:eastAsia="Calibri" w:hAnsi="Simplified Arabic" w:cs="Simplified Arabic"/>
          <w:sz w:val="24"/>
          <w:szCs w:val="24"/>
        </w:rPr>
      </w:pPr>
      <w:r w:rsidRPr="00DC4F89">
        <w:rPr>
          <w:rFonts w:ascii="Simplified Arabic" w:eastAsia="Calibri" w:hAnsi="Simplified Arabic" w:cs="Simplified Arabic"/>
          <w:sz w:val="24"/>
          <w:szCs w:val="24"/>
          <w:rtl/>
        </w:rPr>
        <w:t>أظهرت النتائج ارتفاع تركيز اليورانيوم في دم الموظفين الذين لم يستخدموا معدات الوقاية مقارنة بالذين استخدموا معدات الوقاية وأفراد المجموعة الضابطة. بالإضافة إلى ذلك، كشفت الدراسة عن علاقة ارتباط إيجابية ذات دلالة إحصائية بين تركيز اليورانيوم ومدة العمل في موقع التويثة. كان تركيز اليورانيوم أعلى لدى الموظفين العاملين في الموقع مقارنة بالأفراد الذين لم يعملوا فيه مطلقًا ، مما يؤكد وجود تأثي</w:t>
      </w:r>
      <w:r w:rsidRPr="00DC4F89">
        <w:rPr>
          <w:rFonts w:ascii="Simplified Arabic" w:eastAsia="Calibri" w:hAnsi="Simplified Arabic" w:cs="Simplified Arabic" w:hint="cs"/>
          <w:sz w:val="24"/>
          <w:szCs w:val="24"/>
          <w:rtl/>
        </w:rPr>
        <w:t>ر</w:t>
      </w:r>
      <w:r w:rsidRPr="00DC4F89">
        <w:rPr>
          <w:rFonts w:ascii="Simplified Arabic" w:eastAsia="Calibri" w:hAnsi="Simplified Arabic" w:cs="Simplified Arabic"/>
          <w:sz w:val="24"/>
          <w:szCs w:val="24"/>
          <w:rtl/>
        </w:rPr>
        <w:t xml:space="preserve"> </w:t>
      </w:r>
      <w:r w:rsidRPr="00DC4F89">
        <w:rPr>
          <w:rFonts w:ascii="Simplified Arabic" w:eastAsia="Calibri" w:hAnsi="Simplified Arabic" w:cs="Simplified Arabic" w:hint="cs"/>
          <w:sz w:val="24"/>
          <w:szCs w:val="24"/>
          <w:rtl/>
        </w:rPr>
        <w:t>ا</w:t>
      </w:r>
      <w:r w:rsidRPr="00DC4F89">
        <w:rPr>
          <w:rFonts w:ascii="Simplified Arabic" w:eastAsia="Calibri" w:hAnsi="Simplified Arabic" w:cs="Simplified Arabic"/>
          <w:sz w:val="24"/>
          <w:szCs w:val="24"/>
          <w:rtl/>
        </w:rPr>
        <w:t xml:space="preserve">لتعرض المهني </w:t>
      </w:r>
      <w:r w:rsidRPr="00DC4F89">
        <w:rPr>
          <w:rFonts w:ascii="Simplified Arabic" w:eastAsia="Calibri" w:hAnsi="Simplified Arabic" w:cs="Simplified Arabic" w:hint="cs"/>
          <w:sz w:val="24"/>
          <w:szCs w:val="24"/>
          <w:rtl/>
        </w:rPr>
        <w:t>ل</w:t>
      </w:r>
      <w:r w:rsidRPr="00DC4F89">
        <w:rPr>
          <w:rFonts w:ascii="Simplified Arabic" w:eastAsia="Calibri" w:hAnsi="Simplified Arabic" w:cs="Simplified Arabic"/>
          <w:sz w:val="24"/>
          <w:szCs w:val="24"/>
          <w:rtl/>
        </w:rPr>
        <w:t xml:space="preserve">تراكم اليورانيوم في الدم. </w:t>
      </w:r>
    </w:p>
    <w:p w:rsidR="00DC4F89" w:rsidRPr="00DC4F89" w:rsidRDefault="00DC4F89" w:rsidP="005C599C">
      <w:pPr>
        <w:bidi/>
        <w:spacing w:after="200" w:line="360" w:lineRule="auto"/>
        <w:ind w:firstLine="720"/>
        <w:jc w:val="lowKashida"/>
        <w:rPr>
          <w:rFonts w:ascii="Simplified Arabic" w:eastAsia="Calibri" w:hAnsi="Simplified Arabic" w:cs="Simplified Arabic"/>
          <w:sz w:val="24"/>
          <w:szCs w:val="24"/>
          <w:rtl/>
        </w:rPr>
      </w:pPr>
      <w:r w:rsidRPr="00DC4F89">
        <w:rPr>
          <w:rFonts w:ascii="Simplified Arabic" w:eastAsia="Calibri" w:hAnsi="Simplified Arabic" w:cs="Simplified Arabic"/>
          <w:sz w:val="24"/>
          <w:szCs w:val="24"/>
          <w:rtl/>
        </w:rPr>
        <w:t>تقترح الدراسة أن يرتدي الموظفون بدلات الحماية واستخدام المضادات الأكسدة الفموية للحد من آثار الإشعاع وتعزيز الحماية من التعرض الإ</w:t>
      </w:r>
      <w:r>
        <w:rPr>
          <w:rFonts w:ascii="Simplified Arabic" w:eastAsia="Calibri" w:hAnsi="Simplified Arabic" w:cs="Simplified Arabic"/>
          <w:sz w:val="24"/>
          <w:szCs w:val="24"/>
          <w:rtl/>
        </w:rPr>
        <w:t>شعاعي في بيئات العمل النووية .</w:t>
      </w:r>
      <w:r>
        <w:rPr>
          <w:rFonts w:ascii="Simplified Arabic" w:eastAsia="Calibri" w:hAnsi="Simplified Arabic" w:cs="Simplified Arabic" w:hint="cs"/>
          <w:sz w:val="24"/>
          <w:szCs w:val="24"/>
          <w:rtl/>
        </w:rPr>
        <w:t xml:space="preserve"> </w:t>
      </w:r>
    </w:p>
    <w:p w:rsidR="00DC4F89" w:rsidRPr="00DC4F89" w:rsidRDefault="00DC4F89" w:rsidP="00DC4F89">
      <w:pPr>
        <w:widowControl w:val="0"/>
        <w:autoSpaceDE w:val="0"/>
        <w:autoSpaceDN w:val="0"/>
        <w:bidi/>
        <w:adjustRightInd w:val="0"/>
        <w:spacing w:line="360" w:lineRule="auto"/>
        <w:ind w:left="426" w:hanging="426"/>
        <w:rPr>
          <w:color w:val="000000"/>
        </w:rPr>
      </w:pPr>
    </w:p>
    <w:sectPr w:rsidR="00DC4F89" w:rsidRPr="00DC4F89" w:rsidSect="00C53458">
      <w:headerReference w:type="even" r:id="rId59"/>
      <w:headerReference w:type="default" r:id="rId60"/>
      <w:footerReference w:type="default" r:id="rId61"/>
      <w:headerReference w:type="first" r:id="rId62"/>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F1D" w:rsidRDefault="00250F1D" w:rsidP="00DE4378">
      <w:r>
        <w:separator/>
      </w:r>
    </w:p>
  </w:endnote>
  <w:endnote w:type="continuationSeparator" w:id="0">
    <w:p w:rsidR="00250F1D" w:rsidRDefault="00250F1D"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LM Roman 10">
    <w:altName w:val="Courier New"/>
    <w:panose1 w:val="00000000000000000000"/>
    <w:charset w:val="00"/>
    <w:family w:val="modern"/>
    <w:notTrueType/>
    <w:pitch w:val="variable"/>
    <w:sig w:usb0="00000001"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6"/>
    <w:family w:val="auto"/>
    <w:notTrueType/>
    <w:pitch w:val="default"/>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23421"/>
      <w:docPartObj>
        <w:docPartGallery w:val="Page Numbers (Bottom of Page)"/>
        <w:docPartUnique/>
      </w:docPartObj>
    </w:sdtPr>
    <w:sdtEndPr>
      <w:rPr>
        <w:noProof/>
      </w:rPr>
    </w:sdtEndPr>
    <w:sdtContent>
      <w:p w:rsidR="00C53458" w:rsidRDefault="00C53458">
        <w:pPr>
          <w:pStyle w:val="Footer"/>
          <w:jc w:val="center"/>
        </w:pPr>
        <w:r>
          <w:fldChar w:fldCharType="begin"/>
        </w:r>
        <w:r>
          <w:instrText xml:space="preserve"> PAGE   \* MERGEFORMAT </w:instrText>
        </w:r>
        <w:r>
          <w:fldChar w:fldCharType="separate"/>
        </w:r>
        <w:r w:rsidR="007644FE">
          <w:rPr>
            <w:noProof/>
          </w:rPr>
          <w:t>52</w:t>
        </w:r>
        <w:r>
          <w:rPr>
            <w:noProof/>
          </w:rPr>
          <w:fldChar w:fldCharType="end"/>
        </w:r>
      </w:p>
    </w:sdtContent>
  </w:sdt>
  <w:p w:rsidR="00C44F53" w:rsidRDefault="00C44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F1D" w:rsidRDefault="00250F1D" w:rsidP="00DE4378">
      <w:r>
        <w:separator/>
      </w:r>
    </w:p>
  </w:footnote>
  <w:footnote w:type="continuationSeparator" w:id="0">
    <w:p w:rsidR="00250F1D" w:rsidRDefault="00250F1D" w:rsidP="00DE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53" w:rsidRDefault="00250F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06266" o:spid="_x0000_s2050" type="#_x0000_t75" style="position:absolute;margin-left:0;margin-top:0;width:468pt;height:468pt;z-index:-251657216;mso-position-horizontal:center;mso-position-horizontal-relative:margin;mso-position-vertical:center;mso-position-vertical-relative:margin" o:allowincell="f">
          <v:imagedata r:id="rId1" o:title="Dijlah 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53" w:rsidRPr="0085573B" w:rsidRDefault="00250F1D" w:rsidP="002D6914">
    <w:pPr>
      <w:pStyle w:val="Header"/>
      <w:rPr>
        <w:lang w:val="en-GB"/>
      </w:rPr>
    </w:pPr>
    <w:r>
      <w:rPr>
        <w:rFonts w:ascii="Bookman Old Style" w:hAnsi="Bookman Old Style"/>
        <w:b/>
        <w:i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06267" o:spid="_x0000_s2051" type="#_x0000_t75" style="position:absolute;margin-left:0;margin-top:0;width:468pt;height:468pt;z-index:-251656192;mso-position-horizontal:center;mso-position-horizontal-relative:margin;mso-position-vertical:center;mso-position-vertical-relative:margin" o:allowincell="f">
          <v:imagedata r:id="rId1" o:title="Dijlah Logo1" gain="19661f" blacklevel="22938f"/>
          <w10:wrap anchorx="margin" anchory="margin"/>
        </v:shape>
      </w:pict>
    </w:r>
    <w:r w:rsidR="00C44F53" w:rsidRPr="0019726F">
      <w:rPr>
        <w:rFonts w:ascii="Bookman Old Style" w:hAnsi="Bookman Old Style"/>
        <w:b/>
        <w:iCs/>
        <w:color w:val="000000"/>
        <w:lang w:val="en-GB" w:eastAsia="el-GR"/>
      </w:rPr>
      <w:t>Dijl</w:t>
    </w:r>
    <w:r w:rsidR="00C44F53">
      <w:rPr>
        <w:rFonts w:ascii="Bookman Old Style" w:hAnsi="Bookman Old Style"/>
        <w:b/>
        <w:iCs/>
        <w:color w:val="000000"/>
        <w:lang w:val="en-GB" w:eastAsia="el-GR"/>
      </w:rPr>
      <w:t xml:space="preserve">ah Journal of Medical Sciences </w:t>
    </w:r>
    <w:r w:rsidR="00C44F53" w:rsidRPr="0019726F">
      <w:rPr>
        <w:rFonts w:ascii="Bookman Old Style" w:hAnsi="Bookman Old Style"/>
        <w:b/>
        <w:iCs/>
        <w:color w:val="000000"/>
        <w:lang w:val="en-GB" w:eastAsia="el-GR"/>
      </w:rPr>
      <w:t>(DJMS)</w:t>
    </w:r>
    <w:r w:rsidR="00C44F53">
      <w:rPr>
        <w:rFonts w:ascii="Bookman Old Style" w:hAnsi="Bookman Old Style"/>
        <w:b/>
        <w:iCs/>
        <w:color w:val="000000"/>
        <w:lang w:val="en-GB" w:eastAsia="el-GR"/>
      </w:rPr>
      <w:t xml:space="preserve"> </w:t>
    </w:r>
    <w:r w:rsidR="00C44F53" w:rsidRPr="0019726F">
      <w:rPr>
        <w:rFonts w:ascii="Bookman Old Style" w:hAnsi="Bookman Old Style"/>
        <w:b/>
        <w:iCs/>
        <w:color w:val="000000"/>
        <w:lang w:val="en-GB" w:eastAsia="el-GR"/>
      </w:rPr>
      <w:t xml:space="preserve">                </w:t>
    </w:r>
    <w:r w:rsidR="00C44F53">
      <w:rPr>
        <w:rFonts w:ascii="Bookman Old Style" w:hAnsi="Bookman Old Style"/>
        <w:b/>
        <w:iCs/>
        <w:color w:val="000000"/>
        <w:lang w:val="en-GB" w:eastAsia="el-GR"/>
      </w:rPr>
      <w:tab/>
      <w:t xml:space="preserve">           </w:t>
    </w:r>
    <w:r w:rsidR="00C44F53">
      <w:t>Vol. 2, No. 1, September, 2025</w:t>
    </w:r>
    <w:r w:rsidR="00C44F53" w:rsidRPr="0019726F">
      <w:t>, pp</w:t>
    </w:r>
    <w:r w:rsidR="00C53458">
      <w:t>. 52-64</w:t>
    </w:r>
  </w:p>
  <w:p w:rsidR="00C44F53" w:rsidRPr="0011172D" w:rsidRDefault="00C44F53" w:rsidP="002D6914">
    <w:pPr>
      <w:rPr>
        <w:lang w:val="en-GB"/>
      </w:rPr>
    </w:pPr>
    <w:r>
      <w:t>P-ISSN: 3078-3178, E-ISSN: 3078-8625, paper ID: 07</w:t>
    </w:r>
  </w:p>
  <w:p w:rsidR="00C44F53" w:rsidRPr="002D6914" w:rsidRDefault="00C44F53" w:rsidP="00DE4378">
    <w:pPr>
      <w:pStyle w:val="Header"/>
      <w:rPr>
        <w:lang w:val="en-GB"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53" w:rsidRDefault="00250F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06265" o:spid="_x0000_s2049" type="#_x0000_t75" style="position:absolute;margin-left:0;margin-top:0;width:468pt;height:468pt;z-index:-251658240;mso-position-horizontal:center;mso-position-horizontal-relative:margin;mso-position-vertical:center;mso-position-vertical-relative:margin" o:allowincell="f">
          <v:imagedata r:id="rId1" o:title="Dijlah 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564CE2"/>
    <w:multiLevelType w:val="hybridMultilevel"/>
    <w:tmpl w:val="292ABB74"/>
    <w:lvl w:ilvl="0" w:tplc="420417DE">
      <w:start w:val="1"/>
      <w:numFmt w:val="decimal"/>
      <w:lvlText w:val="%1-"/>
      <w:lvlJc w:val="left"/>
      <w:pPr>
        <w:ind w:left="720" w:hanging="360"/>
      </w:pPr>
      <w:rPr>
        <w:rFonts w:hint="default"/>
        <w:color w:val="05103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0A3B17"/>
    <w:multiLevelType w:val="multilevel"/>
    <w:tmpl w:val="B7E8B6FA"/>
    <w:lvl w:ilvl="0">
      <w:start w:val="1"/>
      <w:numFmt w:val="decimal"/>
      <w:lvlText w:val="%1."/>
      <w:lvlJc w:val="left"/>
      <w:pPr>
        <w:ind w:left="720" w:hanging="360"/>
      </w:pPr>
      <w:rPr>
        <w:rFonts w:ascii="Times New Roman" w:hAnsi="Times New Roman" w:hint="default"/>
        <w:b/>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78"/>
    <w:rsid w:val="00033A79"/>
    <w:rsid w:val="00062A47"/>
    <w:rsid w:val="000912F9"/>
    <w:rsid w:val="000C02C3"/>
    <w:rsid w:val="000D06B3"/>
    <w:rsid w:val="000E5F4B"/>
    <w:rsid w:val="000E7779"/>
    <w:rsid w:val="000F1EEA"/>
    <w:rsid w:val="00113690"/>
    <w:rsid w:val="001140CF"/>
    <w:rsid w:val="00133227"/>
    <w:rsid w:val="001B17FB"/>
    <w:rsid w:val="001F4080"/>
    <w:rsid w:val="002146CE"/>
    <w:rsid w:val="00233731"/>
    <w:rsid w:val="00250F1D"/>
    <w:rsid w:val="00264A6D"/>
    <w:rsid w:val="00265D06"/>
    <w:rsid w:val="002B2D9E"/>
    <w:rsid w:val="002D27FF"/>
    <w:rsid w:val="002D6914"/>
    <w:rsid w:val="00337C93"/>
    <w:rsid w:val="00355F37"/>
    <w:rsid w:val="00377844"/>
    <w:rsid w:val="003F2782"/>
    <w:rsid w:val="0041287C"/>
    <w:rsid w:val="0041791C"/>
    <w:rsid w:val="00430F99"/>
    <w:rsid w:val="00446411"/>
    <w:rsid w:val="004639B1"/>
    <w:rsid w:val="004729A7"/>
    <w:rsid w:val="00491D15"/>
    <w:rsid w:val="004C2D3E"/>
    <w:rsid w:val="004F7340"/>
    <w:rsid w:val="00515199"/>
    <w:rsid w:val="005202D0"/>
    <w:rsid w:val="005616A0"/>
    <w:rsid w:val="00562B3C"/>
    <w:rsid w:val="0057581A"/>
    <w:rsid w:val="005870C7"/>
    <w:rsid w:val="005C599C"/>
    <w:rsid w:val="005D6011"/>
    <w:rsid w:val="005E0AF0"/>
    <w:rsid w:val="005E5D05"/>
    <w:rsid w:val="00610A3C"/>
    <w:rsid w:val="00616F16"/>
    <w:rsid w:val="0063080E"/>
    <w:rsid w:val="00635A40"/>
    <w:rsid w:val="006458BE"/>
    <w:rsid w:val="006625BF"/>
    <w:rsid w:val="006B62F1"/>
    <w:rsid w:val="00736C0C"/>
    <w:rsid w:val="00753044"/>
    <w:rsid w:val="007644FE"/>
    <w:rsid w:val="00780FB6"/>
    <w:rsid w:val="008028C0"/>
    <w:rsid w:val="00807B5A"/>
    <w:rsid w:val="00812EB7"/>
    <w:rsid w:val="00815429"/>
    <w:rsid w:val="00832ACC"/>
    <w:rsid w:val="008A14CB"/>
    <w:rsid w:val="008B1FCA"/>
    <w:rsid w:val="008B421D"/>
    <w:rsid w:val="008C2438"/>
    <w:rsid w:val="008C7073"/>
    <w:rsid w:val="008E07EB"/>
    <w:rsid w:val="0090560B"/>
    <w:rsid w:val="00924E38"/>
    <w:rsid w:val="009B5077"/>
    <w:rsid w:val="009F6B24"/>
    <w:rsid w:val="00A05D10"/>
    <w:rsid w:val="00A25245"/>
    <w:rsid w:val="00AA0AA5"/>
    <w:rsid w:val="00AA7282"/>
    <w:rsid w:val="00AA74D0"/>
    <w:rsid w:val="00AB332B"/>
    <w:rsid w:val="00AF7418"/>
    <w:rsid w:val="00BA51CB"/>
    <w:rsid w:val="00BB2EB7"/>
    <w:rsid w:val="00BD0735"/>
    <w:rsid w:val="00BE1D9B"/>
    <w:rsid w:val="00C05066"/>
    <w:rsid w:val="00C44F53"/>
    <w:rsid w:val="00C53458"/>
    <w:rsid w:val="00C74D2F"/>
    <w:rsid w:val="00C9293E"/>
    <w:rsid w:val="00C97DE8"/>
    <w:rsid w:val="00CA03B7"/>
    <w:rsid w:val="00CA67C2"/>
    <w:rsid w:val="00CC5ABE"/>
    <w:rsid w:val="00CD3C82"/>
    <w:rsid w:val="00CD4699"/>
    <w:rsid w:val="00CD59DE"/>
    <w:rsid w:val="00CF4ADB"/>
    <w:rsid w:val="00D14B28"/>
    <w:rsid w:val="00D517D4"/>
    <w:rsid w:val="00D661DC"/>
    <w:rsid w:val="00D81218"/>
    <w:rsid w:val="00D86E84"/>
    <w:rsid w:val="00DA3B30"/>
    <w:rsid w:val="00DC4F89"/>
    <w:rsid w:val="00DE4378"/>
    <w:rsid w:val="00DE69A5"/>
    <w:rsid w:val="00DF6A4D"/>
    <w:rsid w:val="00E361FF"/>
    <w:rsid w:val="00E75871"/>
    <w:rsid w:val="00EA1941"/>
    <w:rsid w:val="00EE1608"/>
    <w:rsid w:val="00F3072A"/>
    <w:rsid w:val="00F32F6E"/>
    <w:rsid w:val="00F37773"/>
    <w:rsid w:val="00F47AB2"/>
    <w:rsid w:val="00F5258A"/>
    <w:rsid w:val="00F55C32"/>
    <w:rsid w:val="00FA0918"/>
    <w:rsid w:val="00FC3E94"/>
    <w:rsid w:val="00FC733A"/>
    <w:rsid w:val="00FC7E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AB332B"/>
    <w:pPr>
      <w:widowControl w:val="0"/>
      <w:autoSpaceDE w:val="0"/>
      <w:autoSpaceDN w:val="0"/>
      <w:spacing w:before="99"/>
      <w:ind w:left="113"/>
      <w:outlineLvl w:val="0"/>
    </w:pPr>
    <w:rPr>
      <w:rFonts w:ascii="LM Roman 12" w:eastAsia="LM Roman 12" w:hAnsi="LM Roman 12" w:cs="LM Roman 12"/>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5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unhideWhenUsed/>
    <w:rsid w:val="000E7779"/>
    <w:rPr>
      <w:sz w:val="24"/>
      <w:szCs w:val="24"/>
    </w:rPr>
  </w:style>
  <w:style w:type="character" w:styleId="Strong">
    <w:name w:val="Strong"/>
    <w:basedOn w:val="DefaultParagraphFont"/>
    <w:uiPriority w:val="22"/>
    <w:qFormat/>
    <w:rsid w:val="00AB332B"/>
    <w:rPr>
      <w:b/>
      <w:bCs/>
    </w:rPr>
  </w:style>
  <w:style w:type="character" w:customStyle="1" w:styleId="Heading1Char">
    <w:name w:val="Heading 1 Char"/>
    <w:basedOn w:val="DefaultParagraphFont"/>
    <w:link w:val="Heading1"/>
    <w:uiPriority w:val="9"/>
    <w:rsid w:val="00AB332B"/>
    <w:rPr>
      <w:rFonts w:ascii="LM Roman 12" w:eastAsia="LM Roman 12" w:hAnsi="LM Roman 12" w:cs="LM Roman 12"/>
      <w:b/>
      <w:bCs/>
      <w:sz w:val="24"/>
      <w:szCs w:val="24"/>
    </w:rPr>
  </w:style>
  <w:style w:type="paragraph" w:styleId="BodyText">
    <w:name w:val="Body Text"/>
    <w:basedOn w:val="Normal"/>
    <w:link w:val="BodyTextChar"/>
    <w:uiPriority w:val="1"/>
    <w:qFormat/>
    <w:rsid w:val="006625BF"/>
    <w:pPr>
      <w:widowControl w:val="0"/>
      <w:autoSpaceDE w:val="0"/>
      <w:autoSpaceDN w:val="0"/>
      <w:ind w:left="113"/>
    </w:pPr>
    <w:rPr>
      <w:rFonts w:ascii="LM Roman 10" w:eastAsia="LM Roman 10" w:hAnsi="LM Roman 10" w:cs="LM Roman 10"/>
      <w:sz w:val="22"/>
      <w:szCs w:val="22"/>
    </w:rPr>
  </w:style>
  <w:style w:type="character" w:customStyle="1" w:styleId="BodyTextChar">
    <w:name w:val="Body Text Char"/>
    <w:basedOn w:val="DefaultParagraphFont"/>
    <w:link w:val="BodyText"/>
    <w:uiPriority w:val="1"/>
    <w:rsid w:val="006625BF"/>
    <w:rPr>
      <w:rFonts w:ascii="LM Roman 10" w:eastAsia="LM Roman 10" w:hAnsi="LM Roman 10" w:cs="LM Roman 10"/>
    </w:rPr>
  </w:style>
  <w:style w:type="paragraph" w:customStyle="1" w:styleId="tablecolsubhead">
    <w:name w:val="table col subhead"/>
    <w:basedOn w:val="Normal"/>
    <w:rsid w:val="006625BF"/>
    <w:pPr>
      <w:jc w:val="center"/>
    </w:pPr>
    <w:rPr>
      <w:rFonts w:eastAsia="SimSun"/>
      <w:b/>
      <w:bCs/>
      <w:i/>
      <w:iCs/>
      <w:sz w:val="15"/>
      <w:szCs w:val="15"/>
    </w:rPr>
  </w:style>
  <w:style w:type="paragraph" w:styleId="ListParagraph">
    <w:name w:val="List Paragraph"/>
    <w:basedOn w:val="Normal"/>
    <w:uiPriority w:val="34"/>
    <w:qFormat/>
    <w:rsid w:val="00FC7E2A"/>
    <w:pPr>
      <w:ind w:left="720"/>
      <w:contextualSpacing/>
    </w:pPr>
  </w:style>
  <w:style w:type="character" w:customStyle="1" w:styleId="url">
    <w:name w:val="url"/>
    <w:basedOn w:val="DefaultParagraphFont"/>
    <w:rsid w:val="00264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AB332B"/>
    <w:pPr>
      <w:widowControl w:val="0"/>
      <w:autoSpaceDE w:val="0"/>
      <w:autoSpaceDN w:val="0"/>
      <w:spacing w:before="99"/>
      <w:ind w:left="113"/>
      <w:outlineLvl w:val="0"/>
    </w:pPr>
    <w:rPr>
      <w:rFonts w:ascii="LM Roman 12" w:eastAsia="LM Roman 12" w:hAnsi="LM Roman 12" w:cs="LM Roman 12"/>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5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unhideWhenUsed/>
    <w:rsid w:val="000E7779"/>
    <w:rPr>
      <w:sz w:val="24"/>
      <w:szCs w:val="24"/>
    </w:rPr>
  </w:style>
  <w:style w:type="character" w:styleId="Strong">
    <w:name w:val="Strong"/>
    <w:basedOn w:val="DefaultParagraphFont"/>
    <w:uiPriority w:val="22"/>
    <w:qFormat/>
    <w:rsid w:val="00AB332B"/>
    <w:rPr>
      <w:b/>
      <w:bCs/>
    </w:rPr>
  </w:style>
  <w:style w:type="character" w:customStyle="1" w:styleId="Heading1Char">
    <w:name w:val="Heading 1 Char"/>
    <w:basedOn w:val="DefaultParagraphFont"/>
    <w:link w:val="Heading1"/>
    <w:uiPriority w:val="9"/>
    <w:rsid w:val="00AB332B"/>
    <w:rPr>
      <w:rFonts w:ascii="LM Roman 12" w:eastAsia="LM Roman 12" w:hAnsi="LM Roman 12" w:cs="LM Roman 12"/>
      <w:b/>
      <w:bCs/>
      <w:sz w:val="24"/>
      <w:szCs w:val="24"/>
    </w:rPr>
  </w:style>
  <w:style w:type="paragraph" w:styleId="BodyText">
    <w:name w:val="Body Text"/>
    <w:basedOn w:val="Normal"/>
    <w:link w:val="BodyTextChar"/>
    <w:uiPriority w:val="1"/>
    <w:qFormat/>
    <w:rsid w:val="006625BF"/>
    <w:pPr>
      <w:widowControl w:val="0"/>
      <w:autoSpaceDE w:val="0"/>
      <w:autoSpaceDN w:val="0"/>
      <w:ind w:left="113"/>
    </w:pPr>
    <w:rPr>
      <w:rFonts w:ascii="LM Roman 10" w:eastAsia="LM Roman 10" w:hAnsi="LM Roman 10" w:cs="LM Roman 10"/>
      <w:sz w:val="22"/>
      <w:szCs w:val="22"/>
    </w:rPr>
  </w:style>
  <w:style w:type="character" w:customStyle="1" w:styleId="BodyTextChar">
    <w:name w:val="Body Text Char"/>
    <w:basedOn w:val="DefaultParagraphFont"/>
    <w:link w:val="BodyText"/>
    <w:uiPriority w:val="1"/>
    <w:rsid w:val="006625BF"/>
    <w:rPr>
      <w:rFonts w:ascii="LM Roman 10" w:eastAsia="LM Roman 10" w:hAnsi="LM Roman 10" w:cs="LM Roman 10"/>
    </w:rPr>
  </w:style>
  <w:style w:type="paragraph" w:customStyle="1" w:styleId="tablecolsubhead">
    <w:name w:val="table col subhead"/>
    <w:basedOn w:val="Normal"/>
    <w:rsid w:val="006625BF"/>
    <w:pPr>
      <w:jc w:val="center"/>
    </w:pPr>
    <w:rPr>
      <w:rFonts w:eastAsia="SimSun"/>
      <w:b/>
      <w:bCs/>
      <w:i/>
      <w:iCs/>
      <w:sz w:val="15"/>
      <w:szCs w:val="15"/>
    </w:rPr>
  </w:style>
  <w:style w:type="paragraph" w:styleId="ListParagraph">
    <w:name w:val="List Paragraph"/>
    <w:basedOn w:val="Normal"/>
    <w:uiPriority w:val="34"/>
    <w:qFormat/>
    <w:rsid w:val="00FC7E2A"/>
    <w:pPr>
      <w:ind w:left="720"/>
      <w:contextualSpacing/>
    </w:pPr>
  </w:style>
  <w:style w:type="character" w:customStyle="1" w:styleId="url">
    <w:name w:val="url"/>
    <w:basedOn w:val="DefaultParagraphFont"/>
    <w:rsid w:val="0026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30122">
      <w:bodyDiv w:val="1"/>
      <w:marLeft w:val="0"/>
      <w:marRight w:val="0"/>
      <w:marTop w:val="0"/>
      <w:marBottom w:val="0"/>
      <w:divBdr>
        <w:top w:val="none" w:sz="0" w:space="0" w:color="auto"/>
        <w:left w:val="none" w:sz="0" w:space="0" w:color="auto"/>
        <w:bottom w:val="none" w:sz="0" w:space="0" w:color="auto"/>
        <w:right w:val="none" w:sz="0" w:space="0" w:color="auto"/>
      </w:divBdr>
      <w:divsChild>
        <w:div w:id="458765417">
          <w:marLeft w:val="0"/>
          <w:marRight w:val="0"/>
          <w:marTop w:val="0"/>
          <w:marBottom w:val="0"/>
          <w:divBdr>
            <w:top w:val="none" w:sz="0" w:space="0" w:color="auto"/>
            <w:left w:val="none" w:sz="0" w:space="0" w:color="auto"/>
            <w:bottom w:val="none" w:sz="0" w:space="0" w:color="auto"/>
            <w:right w:val="none" w:sz="0" w:space="0" w:color="auto"/>
          </w:divBdr>
        </w:div>
      </w:divsChild>
    </w:div>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oi.org/10.1016/j.apradiso.2021.109705" TargetMode="External"/><Relationship Id="rId26" Type="http://schemas.openxmlformats.org/officeDocument/2006/relationships/hyperlink" Target="https://doi.org/10.1016/j.apradiso.2022.110120" TargetMode="External"/><Relationship Id="rId39" Type="http://schemas.openxmlformats.org/officeDocument/2006/relationships/hyperlink" Target="https://doi.org/10.1007/s12011-019-01920-2" TargetMode="External"/><Relationship Id="rId21" Type="http://schemas.openxmlformats.org/officeDocument/2006/relationships/hyperlink" Target="https://doi.org/10.1016/j.taap.2022.116252" TargetMode="External"/><Relationship Id="rId34" Type="http://schemas.openxmlformats.org/officeDocument/2006/relationships/hyperlink" Target="https://doi.org/10.1016/j.envres.2019.109103" TargetMode="External"/><Relationship Id="rId42" Type="http://schemas.openxmlformats.org/officeDocument/2006/relationships/hyperlink" Target="https://doi.org/10.2307/jj.13167934" TargetMode="External"/><Relationship Id="rId47" Type="http://schemas.openxmlformats.org/officeDocument/2006/relationships/hyperlink" Target="https://doi.org/10.1038/s41598-020-60774-0" TargetMode="External"/><Relationship Id="rId50" Type="http://schemas.openxmlformats.org/officeDocument/2006/relationships/hyperlink" Target="https://doi.org/10.1016/b978-0-12-822946-0.00032-5" TargetMode="External"/><Relationship Id="rId55" Type="http://schemas.openxmlformats.org/officeDocument/2006/relationships/hyperlink" Target="https://doi.org/10.1016/j.mrfmmm.2014.02.001"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doi.org/10.1002/jat.4720" TargetMode="External"/><Relationship Id="rId29" Type="http://schemas.openxmlformats.org/officeDocument/2006/relationships/hyperlink" Target="https://doi.org/10.1016/j.envint.2020.106107" TargetMode="External"/><Relationship Id="rId41" Type="http://schemas.openxmlformats.org/officeDocument/2006/relationships/hyperlink" Target="https://doi.org/10.1097/00004032-198912000-00010" TargetMode="External"/><Relationship Id="rId54" Type="http://schemas.openxmlformats.org/officeDocument/2006/relationships/hyperlink" Target="https://doi.org/10.1093/eurpub/ckv217"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doi.org/10.1007/s00204-020-02676-8" TargetMode="External"/><Relationship Id="rId32" Type="http://schemas.openxmlformats.org/officeDocument/2006/relationships/hyperlink" Target="https://doi.org/10.3390/ijms23084397" TargetMode="External"/><Relationship Id="rId37" Type="http://schemas.openxmlformats.org/officeDocument/2006/relationships/hyperlink" Target="https://doi.org/10.1101/2020.04.10.20060475" TargetMode="External"/><Relationship Id="rId40" Type="http://schemas.openxmlformats.org/officeDocument/2006/relationships/hyperlink" Target="https://doi.org/10.1180/minmag.1978.042.322.40" TargetMode="External"/><Relationship Id="rId45" Type="http://schemas.openxmlformats.org/officeDocument/2006/relationships/hyperlink" Target="https://doi.org/10.1007/s10967-012-2114-2" TargetMode="External"/><Relationship Id="rId53" Type="http://schemas.openxmlformats.org/officeDocument/2006/relationships/hyperlink" Target="https://doi.org/10.1016/j.tiv.2021.105149" TargetMode="External"/><Relationship Id="rId58" Type="http://schemas.openxmlformats.org/officeDocument/2006/relationships/hyperlink" Target="https://doi.org/10.1038/ncomms12605"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doi.org/10.23851/mjs.v30i1.358" TargetMode="External"/><Relationship Id="rId28" Type="http://schemas.openxmlformats.org/officeDocument/2006/relationships/hyperlink" Target="https://doi.org/10.1007/s11356-020-09257-3" TargetMode="External"/><Relationship Id="rId36" Type="http://schemas.openxmlformats.org/officeDocument/2006/relationships/hyperlink" Target="https://doi.org/10.24287/1726-1708-2024-23-3-44-50" TargetMode="External"/><Relationship Id="rId49" Type="http://schemas.openxmlformats.org/officeDocument/2006/relationships/hyperlink" Target="https://doi.org/10.2478/10004-1254-64-2013-2300" TargetMode="External"/><Relationship Id="rId57" Type="http://schemas.openxmlformats.org/officeDocument/2006/relationships/hyperlink" Target="https://doi.org/10.24996/ijs.2019.60.12.12" TargetMode="External"/><Relationship Id="rId61"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doi.org/10.1007/s10661-021-09061-7" TargetMode="External"/><Relationship Id="rId31" Type="http://schemas.openxmlformats.org/officeDocument/2006/relationships/hyperlink" Target="https://doi.org/10.3390/antiox11061098" TargetMode="External"/><Relationship Id="rId44" Type="http://schemas.openxmlformats.org/officeDocument/2006/relationships/hyperlink" Target="https://doi.org/10.1088/1742-6596/956/1/012010" TargetMode="External"/><Relationship Id="rId52" Type="http://schemas.openxmlformats.org/officeDocument/2006/relationships/hyperlink" Target="https://doi.org/10.1038/s41420-023-01573-0"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linaaljameel@uomustansiriyah.edu.iq" TargetMode="External"/><Relationship Id="rId14" Type="http://schemas.openxmlformats.org/officeDocument/2006/relationships/image" Target="media/image5.png"/><Relationship Id="rId22" Type="http://schemas.openxmlformats.org/officeDocument/2006/relationships/hyperlink" Target="https://doi.org/10.1016/j.rineng.2024.102152" TargetMode="External"/><Relationship Id="rId27" Type="http://schemas.openxmlformats.org/officeDocument/2006/relationships/hyperlink" Target="https://doi.org/10.1289/ehp7537" TargetMode="External"/><Relationship Id="rId30" Type="http://schemas.openxmlformats.org/officeDocument/2006/relationships/hyperlink" Target="https://doi.org/10.1016/j.apradiso.2024.111470" TargetMode="External"/><Relationship Id="rId35" Type="http://schemas.openxmlformats.org/officeDocument/2006/relationships/hyperlink" Target="https://doi.org/10.1007/s00204-020-02966-1" TargetMode="External"/><Relationship Id="rId43" Type="http://schemas.openxmlformats.org/officeDocument/2006/relationships/hyperlink" Target="https://doi.org/10.18576/jrna/050206" TargetMode="External"/><Relationship Id="rId48" Type="http://schemas.openxmlformats.org/officeDocument/2006/relationships/hyperlink" Target="https://doi.org/10.1007/s11356-019-04796-w" TargetMode="External"/><Relationship Id="rId56" Type="http://schemas.openxmlformats.org/officeDocument/2006/relationships/hyperlink" Target="https://doi.org/10.3390/medicina60040653"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i.org/10.1038/s41392-020-0150-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1007/s41207-024-00613-0" TargetMode="External"/><Relationship Id="rId25" Type="http://schemas.openxmlformats.org/officeDocument/2006/relationships/hyperlink" Target="https://doi.org/10.1007/s10661-021-09466-4" TargetMode="External"/><Relationship Id="rId33" Type="http://schemas.openxmlformats.org/officeDocument/2006/relationships/hyperlink" Target="https://doi.org/10.1186/s40360-024-00734-w" TargetMode="External"/><Relationship Id="rId38" Type="http://schemas.openxmlformats.org/officeDocument/2006/relationships/hyperlink" Target="https://doi.org/10.1007/s10653-024-02150-9" TargetMode="External"/><Relationship Id="rId46" Type="http://schemas.openxmlformats.org/officeDocument/2006/relationships/hyperlink" Target="https://doi.org/10.4028/www.scientific.net/amr.925.679"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1605;&#1603;&#1578;&#1576;%20&#1608;&#1606;&#1583;&#1608;&#1586;\Desktop\uranium%20result\linear%20correlation%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3494068418428495"/>
          <c:y val="2.7257554102105407E-2"/>
          <c:w val="0.79215423439274513"/>
          <c:h val="0.75243526520206849"/>
        </c:manualLayout>
      </c:layout>
      <c:scatterChart>
        <c:scatterStyle val="lineMarker"/>
        <c:varyColors val="0"/>
        <c:ser>
          <c:idx val="0"/>
          <c:order val="0"/>
          <c:spPr>
            <a:ln w="66675">
              <a:noFill/>
            </a:ln>
          </c:spPr>
          <c:trendline>
            <c:trendlineType val="linear"/>
            <c:dispRSqr val="1"/>
            <c:dispEq val="1"/>
            <c:trendlineLbl>
              <c:layout>
                <c:manualLayout>
                  <c:x val="-0.32598064960156592"/>
                  <c:y val="-9.1050238683440268E-2"/>
                </c:manualLayout>
              </c:layout>
              <c:tx>
                <c:rich>
                  <a:bodyPr/>
                  <a:lstStyle/>
                  <a:p>
                    <a:pPr>
                      <a:defRPr lang="en-US"/>
                    </a:pPr>
                    <a:r>
                      <a:rPr lang="en-US" sz="1100" b="1" baseline="0">
                        <a:cs typeface="+mj-cs"/>
                      </a:rPr>
                      <a:t>y = 0.004x + 0.024
R² = 0.504</a:t>
                    </a:r>
                  </a:p>
                  <a:p>
                    <a:pPr>
                      <a:defRPr lang="en-US"/>
                    </a:pPr>
                    <a:r>
                      <a:rPr lang="en-US" sz="1100" b="1" baseline="0">
                        <a:cs typeface="+mj-cs"/>
                      </a:rPr>
                      <a:t>r=7106</a:t>
                    </a:r>
                  </a:p>
                  <a:p>
                    <a:pPr>
                      <a:defRPr lang="en-US"/>
                    </a:pPr>
                    <a:r>
                      <a:rPr lang="en-US" sz="1100" b="1" baseline="0">
                        <a:cs typeface="+mj-cs"/>
                      </a:rPr>
                      <a:t>p&lt;0.001</a:t>
                    </a:r>
                    <a:endParaRPr lang="en-US" sz="1100" b="1">
                      <a:cs typeface="+mj-cs"/>
                    </a:endParaRPr>
                  </a:p>
                </c:rich>
              </c:tx>
              <c:numFmt formatCode="General" sourceLinked="0"/>
            </c:trendlineLbl>
          </c:trendline>
          <c:xVal>
            <c:numRef>
              <c:f>Sheet3!$A$1:$A$36</c:f>
              <c:numCache>
                <c:formatCode>General</c:formatCode>
                <c:ptCount val="36"/>
                <c:pt idx="0">
                  <c:v>32</c:v>
                </c:pt>
                <c:pt idx="1">
                  <c:v>30</c:v>
                </c:pt>
                <c:pt idx="2">
                  <c:v>35</c:v>
                </c:pt>
                <c:pt idx="3">
                  <c:v>30</c:v>
                </c:pt>
                <c:pt idx="4">
                  <c:v>32</c:v>
                </c:pt>
                <c:pt idx="5">
                  <c:v>35</c:v>
                </c:pt>
                <c:pt idx="6">
                  <c:v>34</c:v>
                </c:pt>
                <c:pt idx="7">
                  <c:v>33</c:v>
                </c:pt>
                <c:pt idx="8">
                  <c:v>18</c:v>
                </c:pt>
                <c:pt idx="9">
                  <c:v>6</c:v>
                </c:pt>
                <c:pt idx="10">
                  <c:v>20</c:v>
                </c:pt>
                <c:pt idx="11">
                  <c:v>20</c:v>
                </c:pt>
                <c:pt idx="12">
                  <c:v>19</c:v>
                </c:pt>
                <c:pt idx="13">
                  <c:v>20</c:v>
                </c:pt>
                <c:pt idx="14">
                  <c:v>23</c:v>
                </c:pt>
                <c:pt idx="15">
                  <c:v>19</c:v>
                </c:pt>
                <c:pt idx="16">
                  <c:v>6</c:v>
                </c:pt>
                <c:pt idx="17">
                  <c:v>25</c:v>
                </c:pt>
                <c:pt idx="18">
                  <c:v>18</c:v>
                </c:pt>
                <c:pt idx="19">
                  <c:v>25</c:v>
                </c:pt>
                <c:pt idx="20">
                  <c:v>5</c:v>
                </c:pt>
                <c:pt idx="21">
                  <c:v>19</c:v>
                </c:pt>
                <c:pt idx="22">
                  <c:v>16</c:v>
                </c:pt>
                <c:pt idx="23">
                  <c:v>20</c:v>
                </c:pt>
                <c:pt idx="24">
                  <c:v>6</c:v>
                </c:pt>
                <c:pt idx="25">
                  <c:v>23</c:v>
                </c:pt>
                <c:pt idx="26">
                  <c:v>5</c:v>
                </c:pt>
                <c:pt idx="27">
                  <c:v>9</c:v>
                </c:pt>
                <c:pt idx="28">
                  <c:v>20</c:v>
                </c:pt>
                <c:pt idx="29">
                  <c:v>25</c:v>
                </c:pt>
                <c:pt idx="30">
                  <c:v>20</c:v>
                </c:pt>
                <c:pt idx="31">
                  <c:v>25</c:v>
                </c:pt>
                <c:pt idx="32">
                  <c:v>24</c:v>
                </c:pt>
                <c:pt idx="33">
                  <c:v>24</c:v>
                </c:pt>
                <c:pt idx="34">
                  <c:v>16</c:v>
                </c:pt>
                <c:pt idx="35">
                  <c:v>20</c:v>
                </c:pt>
              </c:numCache>
            </c:numRef>
          </c:xVal>
          <c:yVal>
            <c:numRef>
              <c:f>Sheet3!$B$1:$B$36</c:f>
              <c:numCache>
                <c:formatCode>General</c:formatCode>
                <c:ptCount val="36"/>
                <c:pt idx="0">
                  <c:v>0.20400000000000001</c:v>
                </c:pt>
                <c:pt idx="1">
                  <c:v>0.21700000000000041</c:v>
                </c:pt>
                <c:pt idx="2">
                  <c:v>0.22600000000000092</c:v>
                </c:pt>
                <c:pt idx="3">
                  <c:v>0.21300000000000024</c:v>
                </c:pt>
                <c:pt idx="4">
                  <c:v>0.19400000000000092</c:v>
                </c:pt>
                <c:pt idx="5">
                  <c:v>0.27300000000000002</c:v>
                </c:pt>
                <c:pt idx="6">
                  <c:v>0.17</c:v>
                </c:pt>
                <c:pt idx="7">
                  <c:v>0.18900000000000144</c:v>
                </c:pt>
                <c:pt idx="8">
                  <c:v>9.6000000000000224E-2</c:v>
                </c:pt>
                <c:pt idx="9">
                  <c:v>8.2000000000000003E-2</c:v>
                </c:pt>
                <c:pt idx="10">
                  <c:v>8.2000000000000003E-2</c:v>
                </c:pt>
                <c:pt idx="11">
                  <c:v>8.1000000000000044E-2</c:v>
                </c:pt>
                <c:pt idx="12">
                  <c:v>8.1000000000000044E-2</c:v>
                </c:pt>
                <c:pt idx="13">
                  <c:v>9.7000000000000045E-2</c:v>
                </c:pt>
                <c:pt idx="14">
                  <c:v>8.8000000000001244E-2</c:v>
                </c:pt>
                <c:pt idx="15">
                  <c:v>8.2000000000000003E-2</c:v>
                </c:pt>
                <c:pt idx="16">
                  <c:v>9.6000000000000224E-2</c:v>
                </c:pt>
                <c:pt idx="17">
                  <c:v>8.2000000000000003E-2</c:v>
                </c:pt>
                <c:pt idx="18">
                  <c:v>7.6000000000000123E-2</c:v>
                </c:pt>
                <c:pt idx="19">
                  <c:v>9.2000000000000026E-2</c:v>
                </c:pt>
                <c:pt idx="20">
                  <c:v>8.3000000000000268E-2</c:v>
                </c:pt>
                <c:pt idx="21">
                  <c:v>9.5000000000000265E-2</c:v>
                </c:pt>
                <c:pt idx="22">
                  <c:v>9.7000000000000045E-2</c:v>
                </c:pt>
                <c:pt idx="23">
                  <c:v>0.10900000000000012</c:v>
                </c:pt>
                <c:pt idx="24">
                  <c:v>7.9000000000000958E-2</c:v>
                </c:pt>
                <c:pt idx="25">
                  <c:v>7.9000000000000958E-2</c:v>
                </c:pt>
                <c:pt idx="26">
                  <c:v>9.9000000000000268E-2</c:v>
                </c:pt>
                <c:pt idx="27">
                  <c:v>9.6000000000000224E-2</c:v>
                </c:pt>
                <c:pt idx="28">
                  <c:v>9.3000000000001068E-2</c:v>
                </c:pt>
                <c:pt idx="29">
                  <c:v>8.9000000000000246E-2</c:v>
                </c:pt>
                <c:pt idx="30">
                  <c:v>0.1</c:v>
                </c:pt>
                <c:pt idx="31">
                  <c:v>0.10400000000000002</c:v>
                </c:pt>
                <c:pt idx="32">
                  <c:v>0.10500000000000002</c:v>
                </c:pt>
                <c:pt idx="33">
                  <c:v>8.3000000000000268E-2</c:v>
                </c:pt>
                <c:pt idx="34">
                  <c:v>8.1000000000000044E-2</c:v>
                </c:pt>
                <c:pt idx="35">
                  <c:v>9.7000000000000045E-2</c:v>
                </c:pt>
              </c:numCache>
            </c:numRef>
          </c:yVal>
          <c:smooth val="0"/>
        </c:ser>
        <c:dLbls>
          <c:showLegendKey val="0"/>
          <c:showVal val="0"/>
          <c:showCatName val="0"/>
          <c:showSerName val="0"/>
          <c:showPercent val="0"/>
          <c:showBubbleSize val="0"/>
        </c:dLbls>
        <c:axId val="131904256"/>
        <c:axId val="155840512"/>
      </c:scatterChart>
      <c:valAx>
        <c:axId val="131904256"/>
        <c:scaling>
          <c:orientation val="minMax"/>
        </c:scaling>
        <c:delete val="0"/>
        <c:axPos val="b"/>
        <c:title>
          <c:tx>
            <c:rich>
              <a:bodyPr/>
              <a:lstStyle/>
              <a:p>
                <a:pPr>
                  <a:defRPr/>
                </a:pPr>
                <a:r>
                  <a:rPr lang="en-US">
                    <a:cs typeface="+mj-cs"/>
                  </a:rPr>
                  <a:t>Duration of employment (years)</a:t>
                </a:r>
              </a:p>
            </c:rich>
          </c:tx>
          <c:overlay val="0"/>
        </c:title>
        <c:numFmt formatCode="General" sourceLinked="1"/>
        <c:majorTickMark val="out"/>
        <c:minorTickMark val="none"/>
        <c:tickLblPos val="nextTo"/>
        <c:crossAx val="155840512"/>
        <c:crosses val="autoZero"/>
        <c:crossBetween val="midCat"/>
      </c:valAx>
      <c:valAx>
        <c:axId val="155840512"/>
        <c:scaling>
          <c:orientation val="minMax"/>
        </c:scaling>
        <c:delete val="0"/>
        <c:axPos val="l"/>
        <c:majorGridlines/>
        <c:minorGridlines/>
        <c:title>
          <c:tx>
            <c:rich>
              <a:bodyPr/>
              <a:lstStyle/>
              <a:p>
                <a:pPr>
                  <a:defRPr/>
                </a:pPr>
                <a:r>
                  <a:rPr lang="en-US">
                    <a:cs typeface="+mj-cs"/>
                  </a:rPr>
                  <a:t>Uranium Concentration (ppb</a:t>
                </a:r>
                <a:r>
                  <a:rPr lang="en-US"/>
                  <a:t>)</a:t>
                </a:r>
              </a:p>
            </c:rich>
          </c:tx>
          <c:overlay val="0"/>
        </c:title>
        <c:numFmt formatCode="General" sourceLinked="1"/>
        <c:majorTickMark val="out"/>
        <c:minorTickMark val="none"/>
        <c:tickLblPos val="nextTo"/>
        <c:crossAx val="13190425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559F-0436-4D17-9E29-455DD90D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13</Pages>
  <Words>5556</Words>
  <Characters>31672</Characters>
  <Application>Microsoft Office Word</Application>
  <DocSecurity>0</DocSecurity>
  <Lines>263</Lines>
  <Paragraphs>74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86</cp:revision>
  <cp:lastPrinted>2025-08-12T09:59:00Z</cp:lastPrinted>
  <dcterms:created xsi:type="dcterms:W3CDTF">2025-04-26T08:37:00Z</dcterms:created>
  <dcterms:modified xsi:type="dcterms:W3CDTF">2025-09-02T08:55:00Z</dcterms:modified>
</cp:coreProperties>
</file>