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DEF59" w14:textId="38036311" w:rsidR="006E4A09" w:rsidRPr="006E4A09" w:rsidRDefault="00515BF6" w:rsidP="006E4A09">
      <w:pPr>
        <w:jc w:val="center"/>
        <w:rPr>
          <w:rFonts w:asciiTheme="majorBidi" w:hAnsiTheme="majorBidi" w:cstheme="majorBidi"/>
          <w:b/>
          <w:bCs/>
          <w:sz w:val="32"/>
          <w:szCs w:val="32"/>
        </w:rPr>
      </w:pPr>
      <w:bookmarkStart w:id="0" w:name="_GoBack"/>
      <w:bookmarkEnd w:id="0"/>
      <w:r>
        <w:rPr>
          <w:rFonts w:asciiTheme="majorBidi" w:hAnsiTheme="majorBidi" w:cstheme="majorBidi"/>
          <w:b/>
          <w:bCs/>
          <w:sz w:val="32"/>
          <w:szCs w:val="32"/>
        </w:rPr>
        <w:t xml:space="preserve">Physiological and Immunological Variations </w:t>
      </w:r>
      <w:r w:rsidR="00D90ADF">
        <w:rPr>
          <w:rFonts w:asciiTheme="majorBidi" w:hAnsiTheme="majorBidi" w:cstheme="majorBidi"/>
          <w:b/>
          <w:bCs/>
          <w:sz w:val="32"/>
          <w:szCs w:val="32"/>
        </w:rPr>
        <w:t>between</w:t>
      </w:r>
      <w:r>
        <w:rPr>
          <w:rFonts w:asciiTheme="majorBidi" w:hAnsiTheme="majorBidi" w:cstheme="majorBidi"/>
          <w:b/>
          <w:bCs/>
          <w:sz w:val="32"/>
          <w:szCs w:val="32"/>
        </w:rPr>
        <w:t xml:space="preserve"> Alfa and Beta Male T</w:t>
      </w:r>
      <w:r w:rsidR="006E4A09" w:rsidRPr="006E4A09">
        <w:rPr>
          <w:rFonts w:asciiTheme="majorBidi" w:hAnsiTheme="majorBidi" w:cstheme="majorBidi"/>
          <w:b/>
          <w:bCs/>
          <w:sz w:val="32"/>
          <w:szCs w:val="32"/>
        </w:rPr>
        <w:t>halassemia in Baghdad.</w:t>
      </w:r>
    </w:p>
    <w:p w14:paraId="1F2185A1" w14:textId="77777777" w:rsidR="006458BE" w:rsidRDefault="006458BE" w:rsidP="006458BE">
      <w:pPr>
        <w:jc w:val="center"/>
        <w:rPr>
          <w:b/>
          <w:bCs/>
          <w:sz w:val="12"/>
          <w:szCs w:val="12"/>
        </w:rPr>
      </w:pPr>
    </w:p>
    <w:p w14:paraId="788EE6A3" w14:textId="77777777" w:rsidR="00515BF6" w:rsidRPr="00515BF6" w:rsidRDefault="00515BF6" w:rsidP="006458BE">
      <w:pPr>
        <w:jc w:val="center"/>
        <w:rPr>
          <w:b/>
          <w:bCs/>
          <w:sz w:val="12"/>
          <w:szCs w:val="12"/>
        </w:rPr>
      </w:pPr>
    </w:p>
    <w:p w14:paraId="641024D0" w14:textId="322B448E" w:rsidR="006458BE" w:rsidRPr="00515BF6" w:rsidRDefault="006E4A09" w:rsidP="00D03EB4">
      <w:pPr>
        <w:jc w:val="center"/>
        <w:rPr>
          <w:b/>
          <w:bCs/>
          <w:sz w:val="22"/>
          <w:szCs w:val="22"/>
        </w:rPr>
      </w:pPr>
      <w:r w:rsidRPr="00515BF6">
        <w:rPr>
          <w:rFonts w:asciiTheme="majorBidi" w:hAnsiTheme="majorBidi" w:cstheme="majorBidi"/>
          <w:b/>
          <w:bCs/>
          <w:sz w:val="22"/>
          <w:szCs w:val="22"/>
          <w:lang w:bidi="ar-IQ"/>
        </w:rPr>
        <w:t>Maliah H. Hamel</w:t>
      </w:r>
      <w:r w:rsidR="006458BE" w:rsidRPr="00515BF6">
        <w:rPr>
          <w:b/>
          <w:bCs/>
          <w:sz w:val="22"/>
          <w:szCs w:val="22"/>
          <w:vertAlign w:val="superscript"/>
        </w:rPr>
        <w:t>1</w:t>
      </w:r>
      <w:r w:rsidR="00515BF6">
        <w:rPr>
          <w:b/>
          <w:bCs/>
          <w:sz w:val="22"/>
          <w:szCs w:val="22"/>
          <w:vertAlign w:val="superscript"/>
        </w:rPr>
        <w:t>*</w:t>
      </w:r>
      <w:r w:rsidR="006458BE" w:rsidRPr="00515BF6">
        <w:rPr>
          <w:b/>
          <w:bCs/>
          <w:sz w:val="22"/>
          <w:szCs w:val="22"/>
        </w:rPr>
        <w:t xml:space="preserve">, </w:t>
      </w:r>
      <w:r w:rsidRPr="00515BF6">
        <w:rPr>
          <w:rFonts w:asciiTheme="majorBidi" w:hAnsiTheme="majorBidi" w:cstheme="majorBidi"/>
          <w:b/>
          <w:bCs/>
          <w:sz w:val="22"/>
          <w:szCs w:val="22"/>
          <w:lang w:bidi="ar-IQ"/>
        </w:rPr>
        <w:t>Asmaa H.</w:t>
      </w:r>
      <w:r w:rsidR="00515BF6">
        <w:rPr>
          <w:rFonts w:asciiTheme="majorBidi" w:hAnsiTheme="majorBidi" w:cstheme="majorBidi"/>
          <w:b/>
          <w:bCs/>
          <w:sz w:val="22"/>
          <w:szCs w:val="22"/>
          <w:lang w:bidi="ar-IQ"/>
        </w:rPr>
        <w:t xml:space="preserve"> juma</w:t>
      </w:r>
      <w:r w:rsidR="00D03EB4">
        <w:rPr>
          <w:b/>
          <w:bCs/>
          <w:sz w:val="22"/>
          <w:szCs w:val="22"/>
          <w:vertAlign w:val="superscript"/>
        </w:rPr>
        <w:t>1</w:t>
      </w:r>
      <w:r w:rsidR="00515BF6">
        <w:rPr>
          <w:b/>
          <w:bCs/>
          <w:sz w:val="22"/>
          <w:szCs w:val="22"/>
          <w:lang w:val="en-GB"/>
        </w:rPr>
        <w:t xml:space="preserve"> and</w:t>
      </w:r>
      <w:r w:rsidR="006458BE" w:rsidRPr="00515BF6">
        <w:rPr>
          <w:b/>
          <w:bCs/>
          <w:sz w:val="22"/>
          <w:szCs w:val="22"/>
          <w:lang w:val="id-ID"/>
        </w:rPr>
        <w:t xml:space="preserve"> </w:t>
      </w:r>
      <w:r w:rsidRPr="00515BF6">
        <w:rPr>
          <w:rFonts w:asciiTheme="majorBidi" w:hAnsiTheme="majorBidi" w:cstheme="majorBidi"/>
          <w:b/>
          <w:bCs/>
          <w:sz w:val="22"/>
          <w:szCs w:val="22"/>
          <w:lang w:bidi="ar-IQ"/>
        </w:rPr>
        <w:t>Mousa M. Marbut</w:t>
      </w:r>
      <w:r w:rsidR="00D03EB4">
        <w:rPr>
          <w:b/>
          <w:bCs/>
          <w:sz w:val="22"/>
          <w:szCs w:val="22"/>
          <w:vertAlign w:val="superscript"/>
        </w:rPr>
        <w:t>2</w:t>
      </w:r>
      <w:r w:rsidR="006458BE" w:rsidRPr="00515BF6">
        <w:rPr>
          <w:b/>
          <w:bCs/>
          <w:sz w:val="22"/>
          <w:szCs w:val="22"/>
        </w:rPr>
        <w:t xml:space="preserve"> </w:t>
      </w:r>
    </w:p>
    <w:p w14:paraId="5A6129A9" w14:textId="4D59E923" w:rsidR="006458BE" w:rsidRPr="00515BF6" w:rsidRDefault="006458BE" w:rsidP="006E4A09">
      <w:pPr>
        <w:jc w:val="center"/>
        <w:rPr>
          <w:sz w:val="18"/>
          <w:szCs w:val="18"/>
        </w:rPr>
      </w:pPr>
      <w:r w:rsidRPr="00515BF6">
        <w:rPr>
          <w:sz w:val="18"/>
          <w:szCs w:val="18"/>
          <w:vertAlign w:val="superscript"/>
        </w:rPr>
        <w:t>1</w:t>
      </w:r>
      <w:r w:rsidRPr="00515BF6">
        <w:rPr>
          <w:sz w:val="18"/>
          <w:szCs w:val="18"/>
        </w:rPr>
        <w:t xml:space="preserve">Department of </w:t>
      </w:r>
      <w:r w:rsidR="006E4A09" w:rsidRPr="00515BF6">
        <w:rPr>
          <w:sz w:val="18"/>
          <w:szCs w:val="18"/>
        </w:rPr>
        <w:t>Biology</w:t>
      </w:r>
      <w:r w:rsidRPr="00515BF6">
        <w:rPr>
          <w:sz w:val="18"/>
          <w:szCs w:val="18"/>
        </w:rPr>
        <w:t xml:space="preserve">, University of </w:t>
      </w:r>
      <w:r w:rsidR="006E4A09" w:rsidRPr="00515BF6">
        <w:rPr>
          <w:rFonts w:asciiTheme="majorBidi" w:hAnsiTheme="majorBidi" w:cstheme="majorBidi"/>
          <w:sz w:val="18"/>
          <w:szCs w:val="18"/>
          <w:lang w:bidi="ar-IQ"/>
        </w:rPr>
        <w:t>Samarra</w:t>
      </w:r>
      <w:r w:rsidR="006E4A09" w:rsidRPr="00515BF6">
        <w:rPr>
          <w:sz w:val="18"/>
          <w:szCs w:val="18"/>
        </w:rPr>
        <w:t>-College of Education</w:t>
      </w:r>
      <w:r w:rsidRPr="00515BF6">
        <w:rPr>
          <w:sz w:val="18"/>
          <w:szCs w:val="18"/>
        </w:rPr>
        <w:t>,</w:t>
      </w:r>
      <w:r w:rsidR="00384132">
        <w:rPr>
          <w:sz w:val="18"/>
          <w:szCs w:val="18"/>
        </w:rPr>
        <w:t xml:space="preserve"> </w:t>
      </w:r>
      <w:r w:rsidR="006E4A09" w:rsidRPr="00515BF6">
        <w:rPr>
          <w:sz w:val="18"/>
          <w:szCs w:val="18"/>
        </w:rPr>
        <w:t>Samarra,</w:t>
      </w:r>
      <w:r w:rsidRPr="00515BF6">
        <w:rPr>
          <w:sz w:val="18"/>
          <w:szCs w:val="18"/>
        </w:rPr>
        <w:t xml:space="preserve"> Iraq </w:t>
      </w:r>
    </w:p>
    <w:p w14:paraId="6C5B4C04" w14:textId="7C37DAE8" w:rsidR="006458BE" w:rsidRPr="00515BF6" w:rsidRDefault="00515BF6" w:rsidP="00515BF6">
      <w:pPr>
        <w:jc w:val="center"/>
        <w:rPr>
          <w:sz w:val="18"/>
          <w:szCs w:val="18"/>
        </w:rPr>
      </w:pPr>
      <w:r>
        <w:rPr>
          <w:sz w:val="18"/>
          <w:szCs w:val="18"/>
          <w:vertAlign w:val="superscript"/>
        </w:rPr>
        <w:t>2</w:t>
      </w:r>
      <w:r w:rsidR="006458BE" w:rsidRPr="00515BF6">
        <w:rPr>
          <w:sz w:val="18"/>
          <w:szCs w:val="18"/>
        </w:rPr>
        <w:t xml:space="preserve">Department of computer engineering techniques, University of Dijlah, Baghdad, Iraq </w:t>
      </w:r>
    </w:p>
    <w:p w14:paraId="6D527EB6" w14:textId="77777777" w:rsidR="006458BE" w:rsidRPr="00515BF6" w:rsidRDefault="006458BE" w:rsidP="006458BE">
      <w:pPr>
        <w:jc w:val="center"/>
        <w:rPr>
          <w:sz w:val="12"/>
          <w:szCs w:val="12"/>
        </w:rPr>
      </w:pPr>
    </w:p>
    <w:tbl>
      <w:tblPr>
        <w:tblStyle w:val="TableGrid"/>
        <w:tblW w:w="8845" w:type="dxa"/>
        <w:jc w:val="center"/>
        <w:tblLook w:val="04A0" w:firstRow="1" w:lastRow="0" w:firstColumn="1" w:lastColumn="0" w:noHBand="0" w:noVBand="1"/>
      </w:tblPr>
      <w:tblGrid>
        <w:gridCol w:w="2789"/>
        <w:gridCol w:w="282"/>
        <w:gridCol w:w="5774"/>
      </w:tblGrid>
      <w:tr w:rsidR="006458BE" w14:paraId="61E38159" w14:textId="77777777" w:rsidTr="00FD7EDD">
        <w:trPr>
          <w:jc w:val="center"/>
        </w:trPr>
        <w:tc>
          <w:tcPr>
            <w:tcW w:w="2802" w:type="dxa"/>
            <w:tcBorders>
              <w:top w:val="double" w:sz="4" w:space="0" w:color="auto"/>
              <w:left w:val="nil"/>
              <w:bottom w:val="single" w:sz="4" w:space="0" w:color="auto"/>
              <w:right w:val="nil"/>
            </w:tcBorders>
          </w:tcPr>
          <w:p w14:paraId="10D3F060" w14:textId="77777777" w:rsidR="006458BE" w:rsidRPr="00957C11" w:rsidRDefault="006458BE" w:rsidP="00FD7EDD">
            <w:pPr>
              <w:spacing w:before="120"/>
              <w:jc w:val="both"/>
              <w:rPr>
                <w:b/>
              </w:rPr>
            </w:pPr>
            <w:r w:rsidRPr="00957C11">
              <w:rPr>
                <w:b/>
              </w:rPr>
              <w:t>Article Info</w:t>
            </w:r>
          </w:p>
        </w:tc>
        <w:tc>
          <w:tcPr>
            <w:tcW w:w="283" w:type="dxa"/>
            <w:tcBorders>
              <w:top w:val="double" w:sz="4" w:space="0" w:color="auto"/>
              <w:left w:val="nil"/>
              <w:bottom w:val="nil"/>
              <w:right w:val="nil"/>
            </w:tcBorders>
          </w:tcPr>
          <w:p w14:paraId="2DB947DA" w14:textId="77777777" w:rsidR="006458BE" w:rsidRDefault="006458BE" w:rsidP="00FD7EDD">
            <w:pPr>
              <w:spacing w:before="120"/>
              <w:jc w:val="center"/>
            </w:pPr>
          </w:p>
        </w:tc>
        <w:tc>
          <w:tcPr>
            <w:tcW w:w="5812" w:type="dxa"/>
            <w:tcBorders>
              <w:top w:val="double" w:sz="4" w:space="0" w:color="auto"/>
              <w:left w:val="nil"/>
              <w:bottom w:val="single" w:sz="4" w:space="0" w:color="auto"/>
              <w:right w:val="nil"/>
            </w:tcBorders>
          </w:tcPr>
          <w:p w14:paraId="380639C8" w14:textId="51CC1ECD" w:rsidR="006458BE" w:rsidRPr="00957C11" w:rsidRDefault="006458BE" w:rsidP="00FD7EDD">
            <w:pPr>
              <w:spacing w:before="120"/>
              <w:rPr>
                <w:color w:val="000000"/>
                <w:sz w:val="24"/>
                <w:szCs w:val="24"/>
              </w:rPr>
            </w:pPr>
            <w:r w:rsidRPr="00957C11">
              <w:rPr>
                <w:b/>
                <w:bCs/>
                <w:iCs/>
                <w:color w:val="000000"/>
              </w:rPr>
              <w:t xml:space="preserve">ABSTRACT </w:t>
            </w:r>
          </w:p>
        </w:tc>
      </w:tr>
      <w:tr w:rsidR="006458BE" w14:paraId="75E2A225" w14:textId="77777777" w:rsidTr="00FD7EDD">
        <w:trPr>
          <w:trHeight w:val="1268"/>
          <w:jc w:val="center"/>
        </w:trPr>
        <w:tc>
          <w:tcPr>
            <w:tcW w:w="2802" w:type="dxa"/>
            <w:tcBorders>
              <w:top w:val="single" w:sz="4" w:space="0" w:color="auto"/>
              <w:left w:val="nil"/>
              <w:bottom w:val="single" w:sz="4" w:space="0" w:color="auto"/>
              <w:right w:val="nil"/>
            </w:tcBorders>
          </w:tcPr>
          <w:p w14:paraId="6FE62F69" w14:textId="77777777" w:rsidR="006458BE" w:rsidRPr="007F286F" w:rsidRDefault="006458BE" w:rsidP="00FD7EDD">
            <w:pPr>
              <w:spacing w:before="120" w:after="120"/>
              <w:jc w:val="both"/>
              <w:rPr>
                <w:b/>
                <w:i/>
              </w:rPr>
            </w:pPr>
            <w:r w:rsidRPr="007F286F">
              <w:rPr>
                <w:b/>
                <w:i/>
              </w:rPr>
              <w:t>Article history:</w:t>
            </w:r>
          </w:p>
          <w:p w14:paraId="6CB5C78D" w14:textId="1C0E88A1" w:rsidR="006458BE" w:rsidRDefault="006458BE" w:rsidP="004D12E5">
            <w:pPr>
              <w:jc w:val="both"/>
            </w:pPr>
            <w:r w:rsidRPr="00957C11">
              <w:t>Received</w:t>
            </w:r>
            <w:r>
              <w:t xml:space="preserve"> </w:t>
            </w:r>
            <w:r w:rsidR="004D12E5">
              <w:t>April,</w:t>
            </w:r>
            <w:r w:rsidRPr="00523156">
              <w:t xml:space="preserve"> </w:t>
            </w:r>
            <w:r w:rsidR="00341927">
              <w:t xml:space="preserve"> </w:t>
            </w:r>
            <w:r w:rsidR="004D12E5">
              <w:t>14</w:t>
            </w:r>
            <w:r w:rsidRPr="00523156">
              <w:t xml:space="preserve">, </w:t>
            </w:r>
            <w:r w:rsidR="004D12E5">
              <w:t>2025</w:t>
            </w:r>
          </w:p>
          <w:p w14:paraId="14B56888" w14:textId="719FD72B" w:rsidR="006458BE" w:rsidRDefault="006458BE" w:rsidP="00B342BD">
            <w:pPr>
              <w:jc w:val="both"/>
            </w:pPr>
            <w:r>
              <w:t xml:space="preserve">Revised </w:t>
            </w:r>
            <w:r w:rsidR="00B342BD">
              <w:t xml:space="preserve">  May, </w:t>
            </w:r>
            <w:r w:rsidRPr="00523156">
              <w:t xml:space="preserve"> </w:t>
            </w:r>
            <w:r w:rsidR="00341927">
              <w:t xml:space="preserve"> </w:t>
            </w:r>
            <w:r w:rsidR="00B342BD">
              <w:t>29</w:t>
            </w:r>
            <w:r w:rsidRPr="00523156">
              <w:t xml:space="preserve">, </w:t>
            </w:r>
            <w:r w:rsidR="00B342BD">
              <w:t>2025</w:t>
            </w:r>
          </w:p>
          <w:p w14:paraId="0E77EA13" w14:textId="750577F7" w:rsidR="006458BE" w:rsidRDefault="006458BE" w:rsidP="006D7D00">
            <w:pPr>
              <w:jc w:val="both"/>
            </w:pPr>
            <w:r>
              <w:t xml:space="preserve">Accepted </w:t>
            </w:r>
            <w:r w:rsidR="006D7D00">
              <w:t>June</w:t>
            </w:r>
            <w:r w:rsidR="00B342BD">
              <w:t>,</w:t>
            </w:r>
            <w:r w:rsidRPr="00523156">
              <w:t xml:space="preserve"> </w:t>
            </w:r>
            <w:r w:rsidR="00B342BD">
              <w:t xml:space="preserve"> </w:t>
            </w:r>
            <w:r w:rsidR="006D7D00">
              <w:t>30</w:t>
            </w:r>
            <w:r w:rsidRPr="00523156">
              <w:t xml:space="preserve">, </w:t>
            </w:r>
            <w:r w:rsidR="00B342BD">
              <w:t>2025</w:t>
            </w:r>
          </w:p>
          <w:p w14:paraId="295B8504" w14:textId="77777777" w:rsidR="006458BE" w:rsidRPr="00957C11" w:rsidRDefault="006458BE" w:rsidP="00FD7EDD">
            <w:pPr>
              <w:jc w:val="both"/>
            </w:pPr>
          </w:p>
        </w:tc>
        <w:tc>
          <w:tcPr>
            <w:tcW w:w="283" w:type="dxa"/>
            <w:vMerge w:val="restart"/>
            <w:tcBorders>
              <w:top w:val="nil"/>
              <w:left w:val="nil"/>
              <w:bottom w:val="nil"/>
              <w:right w:val="nil"/>
            </w:tcBorders>
          </w:tcPr>
          <w:p w14:paraId="370AA114" w14:textId="77777777" w:rsidR="006458BE" w:rsidRDefault="006458BE" w:rsidP="00FD7EDD">
            <w:pPr>
              <w:spacing w:before="120"/>
              <w:jc w:val="both"/>
            </w:pPr>
          </w:p>
        </w:tc>
        <w:tc>
          <w:tcPr>
            <w:tcW w:w="5812" w:type="dxa"/>
            <w:vMerge w:val="restart"/>
            <w:tcBorders>
              <w:top w:val="single" w:sz="4" w:space="0" w:color="auto"/>
              <w:left w:val="nil"/>
              <w:bottom w:val="nil"/>
              <w:right w:val="nil"/>
            </w:tcBorders>
          </w:tcPr>
          <w:p w14:paraId="5A42D032" w14:textId="77777777" w:rsidR="002C67B0" w:rsidRPr="002C67B0" w:rsidRDefault="002C67B0" w:rsidP="002C67B0">
            <w:pPr>
              <w:jc w:val="both"/>
              <w:rPr>
                <w:rFonts w:asciiTheme="majorBidi" w:hAnsiTheme="majorBidi" w:cstheme="majorBidi"/>
                <w:sz w:val="12"/>
                <w:szCs w:val="12"/>
                <w:lang w:bidi="ar-IQ"/>
              </w:rPr>
            </w:pPr>
          </w:p>
          <w:p w14:paraId="26BF1EB3" w14:textId="77777777" w:rsidR="00E2504D" w:rsidRPr="00EC778F" w:rsidRDefault="002C67B0" w:rsidP="00E2504D">
            <w:pPr>
              <w:jc w:val="both"/>
              <w:rPr>
                <w:rFonts w:asciiTheme="majorBidi" w:hAnsiTheme="majorBidi" w:cstheme="majorBidi"/>
                <w:b/>
                <w:bCs/>
                <w:lang w:bidi="ar-IQ"/>
              </w:rPr>
            </w:pPr>
            <w:r>
              <w:rPr>
                <w:rFonts w:asciiTheme="majorBidi" w:hAnsiTheme="majorBidi" w:cstheme="majorBidi"/>
                <w:sz w:val="18"/>
                <w:szCs w:val="18"/>
                <w:lang w:bidi="ar-IQ"/>
              </w:rPr>
              <w:t xml:space="preserve">             </w:t>
            </w:r>
            <w:r w:rsidR="0062223D" w:rsidRPr="00EC778F">
              <w:rPr>
                <w:rFonts w:asciiTheme="majorBidi" w:hAnsiTheme="majorBidi" w:cstheme="majorBidi"/>
                <w:lang w:bidi="ar-IQ"/>
              </w:rPr>
              <w:t xml:space="preserve">Βeta thalassemia, which is characterized by impaired beta globin chain synthesis. β-thalassemia major, A severe anemia with ineffective red blood cell production that can be life-threatening. Interleukin-6 had been reported to elevate in βeta Thalassemia patients and this may be due to multiple Hemotransfusion. This study aims to investigate the roles of blood ferritin, </w:t>
            </w:r>
            <w:r w:rsidR="0062223D" w:rsidRPr="00EC778F">
              <w:rPr>
                <w:rFonts w:asciiTheme="majorBidi" w:hAnsiTheme="majorBidi" w:cstheme="majorBidi"/>
                <w:b/>
                <w:bCs/>
                <w:lang w:bidi="ar-IQ"/>
              </w:rPr>
              <w:t>IL-6 &amp; IFN-</w:t>
            </w:r>
            <w:r w:rsidR="0062223D" w:rsidRPr="00EC778F">
              <w:rPr>
                <w:rFonts w:asciiTheme="majorBidi" w:hAnsiTheme="majorBidi" w:cstheme="majorBidi" w:hint="eastAsia"/>
                <w:lang w:bidi="ar-IQ"/>
              </w:rPr>
              <w:t xml:space="preserve"> </w:t>
            </w:r>
            <w:r w:rsidR="0062223D" w:rsidRPr="00EC778F">
              <w:rPr>
                <w:rFonts w:asciiTheme="majorBidi" w:hAnsiTheme="majorBidi" w:cstheme="majorBidi" w:hint="eastAsia"/>
                <w:b/>
                <w:bCs/>
                <w:lang w:bidi="ar-IQ"/>
              </w:rPr>
              <w:t>γ</w:t>
            </w:r>
            <w:r w:rsidR="0062223D" w:rsidRPr="00EC778F">
              <w:rPr>
                <w:rFonts w:asciiTheme="majorBidi" w:hAnsiTheme="majorBidi" w:cstheme="majorBidi"/>
                <w:lang w:bidi="ar-IQ"/>
              </w:rPr>
              <w:t xml:space="preserve"> in Beta Thalassemia Major individuals as compare with α-thalassemia patients. Patients an</w:t>
            </w:r>
            <w:r w:rsidR="00E2504D" w:rsidRPr="00EC778F">
              <w:rPr>
                <w:rFonts w:asciiTheme="majorBidi" w:hAnsiTheme="majorBidi" w:cstheme="majorBidi"/>
                <w:lang w:bidi="ar-IQ"/>
              </w:rPr>
              <w:t xml:space="preserve">d methods; </w:t>
            </w:r>
            <w:r w:rsidR="0062223D" w:rsidRPr="00EC778F">
              <w:rPr>
                <w:rFonts w:asciiTheme="majorBidi" w:hAnsiTheme="majorBidi" w:cstheme="majorBidi"/>
                <w:lang w:bidi="ar-IQ"/>
              </w:rPr>
              <w:t>Eighty male subjects were participated in the present study, (20 male patients with Beta thalassemia, 20 male patients with alfa thalassemia and 40 male normal healthy subjects. The work was done in Al-baldy hospital in Baghdad from beginning of December 26, 2023 to the end of April 2024. Blood samples were taken from all patients. Hematological, IL-6 and IFN-</w:t>
            </w:r>
            <w:r w:rsidR="0062223D" w:rsidRPr="00EC778F">
              <w:rPr>
                <w:rFonts w:asciiTheme="majorBidi" w:hAnsiTheme="majorBidi" w:cstheme="majorBidi" w:hint="eastAsia"/>
                <w:lang w:bidi="ar-IQ"/>
              </w:rPr>
              <w:t xml:space="preserve"> γ</w:t>
            </w:r>
            <w:r w:rsidR="0062223D" w:rsidRPr="00EC778F">
              <w:rPr>
                <w:rFonts w:asciiTheme="majorBidi" w:hAnsiTheme="majorBidi" w:cstheme="majorBidi"/>
                <w:lang w:bidi="ar-IQ"/>
              </w:rPr>
              <w:t xml:space="preserve"> were measured.</w:t>
            </w:r>
            <w:r w:rsidR="00E2504D" w:rsidRPr="00EC778F">
              <w:rPr>
                <w:rFonts w:asciiTheme="majorBidi" w:hAnsiTheme="majorBidi" w:cstheme="majorBidi"/>
                <w:b/>
                <w:bCs/>
                <w:lang w:bidi="ar-IQ"/>
              </w:rPr>
              <w:t xml:space="preserve"> </w:t>
            </w:r>
          </w:p>
          <w:p w14:paraId="3DC26077" w14:textId="77777777" w:rsidR="00E2504D" w:rsidRPr="00EC778F" w:rsidRDefault="00E2504D" w:rsidP="00E2504D">
            <w:pPr>
              <w:jc w:val="both"/>
              <w:rPr>
                <w:rFonts w:asciiTheme="majorBidi" w:hAnsiTheme="majorBidi" w:cstheme="majorBidi"/>
                <w:b/>
                <w:bCs/>
                <w:sz w:val="12"/>
                <w:szCs w:val="12"/>
                <w:lang w:bidi="ar-IQ"/>
              </w:rPr>
            </w:pPr>
          </w:p>
          <w:p w14:paraId="2DD23FB4" w14:textId="6DD8350A" w:rsidR="006458BE" w:rsidRPr="006D7D00" w:rsidRDefault="0062223D" w:rsidP="006D7D00">
            <w:pPr>
              <w:jc w:val="both"/>
              <w:rPr>
                <w:rFonts w:asciiTheme="majorBidi" w:hAnsiTheme="majorBidi" w:cstheme="majorBidi"/>
                <w:lang w:bidi="ar-IQ"/>
              </w:rPr>
            </w:pPr>
            <w:r w:rsidRPr="00EC778F">
              <w:rPr>
                <w:rFonts w:asciiTheme="majorBidi" w:hAnsiTheme="majorBidi" w:cstheme="majorBidi"/>
                <w:lang w:bidi="ar-IQ"/>
              </w:rPr>
              <w:t xml:space="preserve">There is a highly significant increase in ferritin levels of β-thalassemia patients as compare with α-thalassemia cases. Also, a substantial increase is observed (p≤0.01) in the IL-6 level of </w:t>
            </w:r>
            <w:r w:rsidRPr="00EC778F">
              <w:rPr>
                <w:rFonts w:asciiTheme="majorBidi" w:hAnsiTheme="majorBidi" w:cstheme="majorBidi" w:hint="eastAsia"/>
                <w:lang w:bidi="ar-IQ"/>
              </w:rPr>
              <w:t>β</w:t>
            </w:r>
            <w:r w:rsidRPr="00EC778F">
              <w:rPr>
                <w:rFonts w:asciiTheme="majorBidi" w:hAnsiTheme="majorBidi" w:cstheme="majorBidi"/>
                <w:lang w:bidi="ar-IQ"/>
              </w:rPr>
              <w:t xml:space="preserve">-thalassaemia major patients, as compared with α thalassemia patients. </w:t>
            </w:r>
          </w:p>
        </w:tc>
      </w:tr>
      <w:tr w:rsidR="006458BE" w14:paraId="2137C824" w14:textId="77777777" w:rsidTr="00FD7EDD">
        <w:trPr>
          <w:trHeight w:val="1231"/>
          <w:jc w:val="center"/>
        </w:trPr>
        <w:tc>
          <w:tcPr>
            <w:tcW w:w="2802" w:type="dxa"/>
            <w:vMerge w:val="restart"/>
            <w:tcBorders>
              <w:top w:val="single" w:sz="4" w:space="0" w:color="auto"/>
              <w:left w:val="nil"/>
              <w:bottom w:val="single" w:sz="4" w:space="0" w:color="auto"/>
              <w:right w:val="nil"/>
            </w:tcBorders>
          </w:tcPr>
          <w:p w14:paraId="127369C5" w14:textId="0D096DB5" w:rsidR="006458BE" w:rsidRPr="007F286F" w:rsidRDefault="006458BE" w:rsidP="00FD7EDD">
            <w:pPr>
              <w:spacing w:before="120" w:after="120"/>
              <w:jc w:val="both"/>
              <w:rPr>
                <w:b/>
                <w:i/>
              </w:rPr>
            </w:pPr>
            <w:r w:rsidRPr="007F286F">
              <w:rPr>
                <w:b/>
                <w:i/>
              </w:rPr>
              <w:t>Keyword</w:t>
            </w:r>
            <w:r>
              <w:rPr>
                <w:b/>
                <w:i/>
              </w:rPr>
              <w:t>s</w:t>
            </w:r>
            <w:r w:rsidRPr="007F286F">
              <w:rPr>
                <w:b/>
                <w:i/>
              </w:rPr>
              <w:t>:</w:t>
            </w:r>
          </w:p>
          <w:p w14:paraId="4D05FF1F" w14:textId="09EB4B9A" w:rsidR="0062223D" w:rsidRDefault="0062223D" w:rsidP="0062223D">
            <w:pPr>
              <w:jc w:val="both"/>
              <w:rPr>
                <w:rFonts w:asciiTheme="majorBidi" w:hAnsiTheme="majorBidi" w:cstheme="majorBidi"/>
                <w:lang w:bidi="ar-IQ"/>
              </w:rPr>
            </w:pPr>
            <w:r w:rsidRPr="0062223D">
              <w:rPr>
                <w:rFonts w:asciiTheme="majorBidi" w:hAnsiTheme="majorBidi" w:cstheme="majorBidi"/>
                <w:lang w:bidi="ar-IQ"/>
              </w:rPr>
              <w:t>Thalassemia</w:t>
            </w:r>
            <w:r w:rsidR="00E2504D">
              <w:rPr>
                <w:rFonts w:asciiTheme="majorBidi" w:hAnsiTheme="majorBidi" w:cstheme="majorBidi"/>
                <w:lang w:bidi="ar-IQ"/>
              </w:rPr>
              <w:t xml:space="preserve">, </w:t>
            </w:r>
          </w:p>
          <w:p w14:paraId="334EF953" w14:textId="051C1668" w:rsidR="0062223D" w:rsidRDefault="00E2504D" w:rsidP="0062223D">
            <w:pPr>
              <w:jc w:val="both"/>
              <w:rPr>
                <w:rFonts w:asciiTheme="majorBidi" w:hAnsiTheme="majorBidi" w:cstheme="majorBidi"/>
                <w:lang w:bidi="ar-IQ"/>
              </w:rPr>
            </w:pPr>
            <w:r>
              <w:rPr>
                <w:rFonts w:asciiTheme="majorBidi" w:hAnsiTheme="majorBidi" w:cstheme="majorBidi"/>
                <w:lang w:bidi="ar-IQ"/>
              </w:rPr>
              <w:t>B</w:t>
            </w:r>
            <w:r w:rsidR="0062223D" w:rsidRPr="0062223D">
              <w:rPr>
                <w:rFonts w:asciiTheme="majorBidi" w:hAnsiTheme="majorBidi" w:cstheme="majorBidi"/>
                <w:lang w:bidi="ar-IQ"/>
              </w:rPr>
              <w:t>eta</w:t>
            </w:r>
            <w:r>
              <w:rPr>
                <w:rFonts w:asciiTheme="majorBidi" w:hAnsiTheme="majorBidi" w:cstheme="majorBidi"/>
                <w:lang w:bidi="ar-IQ"/>
              </w:rPr>
              <w:t xml:space="preserve">, </w:t>
            </w:r>
          </w:p>
          <w:p w14:paraId="0D9C9B29" w14:textId="0467BE6B" w:rsidR="0062223D" w:rsidRDefault="00E2504D" w:rsidP="0062223D">
            <w:pPr>
              <w:jc w:val="both"/>
              <w:rPr>
                <w:rFonts w:asciiTheme="majorBidi" w:hAnsiTheme="majorBidi" w:cstheme="majorBidi"/>
                <w:lang w:bidi="ar-IQ"/>
              </w:rPr>
            </w:pPr>
            <w:r>
              <w:rPr>
                <w:rFonts w:asciiTheme="majorBidi" w:hAnsiTheme="majorBidi" w:cstheme="majorBidi"/>
                <w:lang w:bidi="ar-IQ"/>
              </w:rPr>
              <w:t>F</w:t>
            </w:r>
            <w:r w:rsidR="0062223D" w:rsidRPr="0062223D">
              <w:rPr>
                <w:rFonts w:asciiTheme="majorBidi" w:hAnsiTheme="majorBidi" w:cstheme="majorBidi"/>
                <w:lang w:bidi="ar-IQ"/>
              </w:rPr>
              <w:t>erritin</w:t>
            </w:r>
            <w:r>
              <w:rPr>
                <w:rFonts w:asciiTheme="majorBidi" w:hAnsiTheme="majorBidi" w:cstheme="majorBidi"/>
                <w:lang w:bidi="ar-IQ"/>
              </w:rPr>
              <w:t xml:space="preserve">, </w:t>
            </w:r>
          </w:p>
          <w:p w14:paraId="33761602" w14:textId="3AB67801" w:rsidR="0062223D" w:rsidRDefault="0062223D" w:rsidP="0062223D">
            <w:pPr>
              <w:jc w:val="both"/>
              <w:rPr>
                <w:rFonts w:asciiTheme="majorBidi" w:hAnsiTheme="majorBidi" w:cstheme="majorBidi"/>
                <w:lang w:bidi="ar-IQ"/>
              </w:rPr>
            </w:pPr>
            <w:r w:rsidRPr="0062223D">
              <w:rPr>
                <w:rFonts w:asciiTheme="majorBidi" w:hAnsiTheme="majorBidi" w:cstheme="majorBidi"/>
                <w:lang w:bidi="ar-IQ"/>
              </w:rPr>
              <w:t>IL-6</w:t>
            </w:r>
            <w:r w:rsidR="00E2504D">
              <w:rPr>
                <w:rFonts w:asciiTheme="majorBidi" w:hAnsiTheme="majorBidi" w:cstheme="majorBidi"/>
                <w:lang w:bidi="ar-IQ"/>
              </w:rPr>
              <w:t xml:space="preserve">, </w:t>
            </w:r>
          </w:p>
          <w:p w14:paraId="7D94B58E" w14:textId="05269296" w:rsidR="0062223D" w:rsidRPr="0062223D" w:rsidRDefault="0062223D" w:rsidP="0062223D">
            <w:pPr>
              <w:jc w:val="both"/>
              <w:rPr>
                <w:rFonts w:asciiTheme="majorBidi" w:hAnsiTheme="majorBidi" w:cstheme="majorBidi"/>
                <w:lang w:bidi="ar-IQ"/>
              </w:rPr>
            </w:pPr>
            <w:r w:rsidRPr="0062223D">
              <w:rPr>
                <w:rFonts w:asciiTheme="majorBidi" w:hAnsiTheme="majorBidi" w:cstheme="majorBidi"/>
                <w:lang w:bidi="ar-IQ"/>
              </w:rPr>
              <w:t>IFN-</w:t>
            </w:r>
            <w:r w:rsidRPr="0062223D">
              <w:rPr>
                <w:rFonts w:asciiTheme="majorBidi" w:hAnsiTheme="majorBidi" w:cstheme="majorBidi" w:hint="eastAsia"/>
                <w:lang w:bidi="ar-IQ"/>
              </w:rPr>
              <w:t xml:space="preserve"> γ</w:t>
            </w:r>
          </w:p>
          <w:p w14:paraId="23C31D49" w14:textId="1A244C6D" w:rsidR="006458BE" w:rsidRPr="00E2504D" w:rsidRDefault="006458BE" w:rsidP="00FD7EDD">
            <w:pPr>
              <w:jc w:val="both"/>
              <w:rPr>
                <w:bCs/>
                <w:iCs/>
              </w:rPr>
            </w:pPr>
          </w:p>
        </w:tc>
        <w:tc>
          <w:tcPr>
            <w:tcW w:w="283" w:type="dxa"/>
            <w:vMerge/>
            <w:tcBorders>
              <w:top w:val="nil"/>
              <w:left w:val="nil"/>
              <w:bottom w:val="nil"/>
              <w:right w:val="nil"/>
            </w:tcBorders>
          </w:tcPr>
          <w:p w14:paraId="0F4733D1" w14:textId="77777777" w:rsidR="006458BE" w:rsidRDefault="006458BE" w:rsidP="00FD7EDD">
            <w:pPr>
              <w:spacing w:before="120"/>
              <w:jc w:val="both"/>
            </w:pPr>
          </w:p>
        </w:tc>
        <w:tc>
          <w:tcPr>
            <w:tcW w:w="5812" w:type="dxa"/>
            <w:vMerge/>
            <w:tcBorders>
              <w:top w:val="nil"/>
              <w:left w:val="nil"/>
              <w:bottom w:val="nil"/>
              <w:right w:val="nil"/>
            </w:tcBorders>
          </w:tcPr>
          <w:p w14:paraId="399B988A" w14:textId="77777777" w:rsidR="006458BE" w:rsidRPr="00957C11" w:rsidRDefault="006458BE" w:rsidP="00FD7EDD">
            <w:pPr>
              <w:spacing w:before="120"/>
              <w:jc w:val="both"/>
              <w:rPr>
                <w:iCs/>
                <w:color w:val="000000"/>
                <w:sz w:val="18"/>
                <w:szCs w:val="18"/>
              </w:rPr>
            </w:pPr>
          </w:p>
        </w:tc>
      </w:tr>
      <w:tr w:rsidR="006458BE" w14:paraId="5336AAF2" w14:textId="77777777" w:rsidTr="00FD7EDD">
        <w:trPr>
          <w:trHeight w:val="70"/>
          <w:jc w:val="center"/>
        </w:trPr>
        <w:tc>
          <w:tcPr>
            <w:tcW w:w="2802" w:type="dxa"/>
            <w:vMerge/>
            <w:tcBorders>
              <w:top w:val="single" w:sz="4" w:space="0" w:color="auto"/>
              <w:left w:val="nil"/>
              <w:bottom w:val="single" w:sz="4" w:space="0" w:color="auto"/>
              <w:right w:val="nil"/>
            </w:tcBorders>
          </w:tcPr>
          <w:p w14:paraId="7405D708" w14:textId="77777777" w:rsidR="006458BE" w:rsidRPr="007F286F" w:rsidRDefault="006458BE" w:rsidP="00FD7EDD">
            <w:pPr>
              <w:spacing w:before="120" w:after="120"/>
              <w:jc w:val="both"/>
              <w:rPr>
                <w:b/>
                <w:i/>
              </w:rPr>
            </w:pPr>
          </w:p>
        </w:tc>
        <w:tc>
          <w:tcPr>
            <w:tcW w:w="283" w:type="dxa"/>
            <w:vMerge/>
            <w:tcBorders>
              <w:top w:val="nil"/>
              <w:left w:val="nil"/>
              <w:bottom w:val="nil"/>
              <w:right w:val="nil"/>
            </w:tcBorders>
          </w:tcPr>
          <w:p w14:paraId="1F173276" w14:textId="77777777" w:rsidR="006458BE" w:rsidRDefault="006458BE" w:rsidP="00FD7EDD">
            <w:pPr>
              <w:spacing w:before="120"/>
              <w:jc w:val="both"/>
            </w:pPr>
          </w:p>
        </w:tc>
        <w:tc>
          <w:tcPr>
            <w:tcW w:w="5812" w:type="dxa"/>
            <w:tcBorders>
              <w:top w:val="nil"/>
              <w:left w:val="nil"/>
              <w:bottom w:val="single" w:sz="4" w:space="0" w:color="auto"/>
              <w:right w:val="nil"/>
            </w:tcBorders>
          </w:tcPr>
          <w:p w14:paraId="57F7A9B7" w14:textId="77777777" w:rsidR="006458BE" w:rsidRPr="00B342BD" w:rsidRDefault="006458BE" w:rsidP="00FD7EDD">
            <w:pPr>
              <w:spacing w:before="120" w:after="120"/>
              <w:jc w:val="right"/>
              <w:rPr>
                <w:color w:val="000000"/>
                <w:sz w:val="18"/>
                <w:szCs w:val="18"/>
              </w:rPr>
            </w:pPr>
          </w:p>
        </w:tc>
      </w:tr>
      <w:tr w:rsidR="006458BE" w14:paraId="282F1331" w14:textId="77777777" w:rsidTr="00515BF6">
        <w:trPr>
          <w:jc w:val="center"/>
        </w:trPr>
        <w:tc>
          <w:tcPr>
            <w:tcW w:w="8897" w:type="dxa"/>
            <w:gridSpan w:val="3"/>
            <w:tcBorders>
              <w:top w:val="nil"/>
              <w:left w:val="nil"/>
              <w:bottom w:val="double" w:sz="4" w:space="0" w:color="auto"/>
              <w:right w:val="nil"/>
            </w:tcBorders>
            <w:shd w:val="clear" w:color="auto" w:fill="auto"/>
          </w:tcPr>
          <w:p w14:paraId="7348DB1B" w14:textId="77777777" w:rsidR="006458BE" w:rsidRPr="00515BF6" w:rsidRDefault="006458BE" w:rsidP="00FD7EDD">
            <w:pPr>
              <w:spacing w:before="120" w:after="120"/>
              <w:rPr>
                <w:b/>
                <w:i/>
              </w:rPr>
            </w:pPr>
            <w:r w:rsidRPr="00515BF6">
              <w:rPr>
                <w:b/>
                <w:i/>
              </w:rPr>
              <w:t>Corresponding Author:</w:t>
            </w:r>
          </w:p>
          <w:p w14:paraId="7D5D6B21" w14:textId="765E0AF5" w:rsidR="00B605A6" w:rsidRPr="00515BF6" w:rsidRDefault="00542CB8" w:rsidP="00542CB8">
            <w:r>
              <w:rPr>
                <w:rFonts w:asciiTheme="majorBidi" w:hAnsiTheme="majorBidi" w:cstheme="majorBidi"/>
                <w:lang w:bidi="ar-IQ"/>
              </w:rPr>
              <w:t xml:space="preserve">* </w:t>
            </w:r>
            <w:r w:rsidR="0062223D" w:rsidRPr="00515BF6">
              <w:rPr>
                <w:rFonts w:asciiTheme="majorBidi" w:hAnsiTheme="majorBidi" w:cstheme="majorBidi"/>
                <w:lang w:bidi="ar-IQ"/>
              </w:rPr>
              <w:t>Maliah H. Hamel</w:t>
            </w:r>
            <w:r w:rsidR="006458BE" w:rsidRPr="00515BF6">
              <w:br/>
            </w:r>
            <w:r w:rsidR="0062223D" w:rsidRPr="00515BF6">
              <w:t xml:space="preserve">Department of Biology, University of </w:t>
            </w:r>
            <w:r w:rsidR="0062223D" w:rsidRPr="00515BF6">
              <w:rPr>
                <w:rFonts w:asciiTheme="majorBidi" w:hAnsiTheme="majorBidi" w:cstheme="majorBidi"/>
                <w:lang w:bidi="ar-IQ"/>
              </w:rPr>
              <w:t>Samarra</w:t>
            </w:r>
            <w:r w:rsidR="0062223D" w:rsidRPr="00515BF6">
              <w:t>-College of Education,</w:t>
            </w:r>
            <w:r>
              <w:t xml:space="preserve"> </w:t>
            </w:r>
            <w:r w:rsidR="0062223D" w:rsidRPr="00515BF6">
              <w:t>Samarra, Iraq</w:t>
            </w:r>
          </w:p>
          <w:p w14:paraId="1DDD0518" w14:textId="77777777" w:rsidR="00542CB8" w:rsidRDefault="00542CB8" w:rsidP="00542CB8">
            <w:r>
              <w:t>AL M</w:t>
            </w:r>
            <w:r w:rsidR="00B605A6" w:rsidRPr="00515BF6">
              <w:t>ahdya street,</w:t>
            </w:r>
            <w:r>
              <w:t xml:space="preserve"> </w:t>
            </w:r>
            <w:r w:rsidR="00B605A6" w:rsidRPr="00515BF6">
              <w:t>Baghdad,</w:t>
            </w:r>
            <w:r>
              <w:t xml:space="preserve"> </w:t>
            </w:r>
            <w:r w:rsidR="00B605A6" w:rsidRPr="00515BF6">
              <w:t>Iraq</w:t>
            </w:r>
            <w:r>
              <w:t xml:space="preserve"> </w:t>
            </w:r>
            <w:r w:rsidR="0062223D" w:rsidRPr="00515BF6">
              <w:br/>
              <w:t>Email:</w:t>
            </w:r>
            <w:r w:rsidR="00B605A6" w:rsidRPr="00515BF6">
              <w:t xml:space="preserve"> </w:t>
            </w:r>
            <w:hyperlink r:id="rId9" w:history="1">
              <w:r w:rsidRPr="00BD5728">
                <w:rPr>
                  <w:rStyle w:val="Hyperlink"/>
                </w:rPr>
                <w:t>maliahhatem58@gmail.com</w:t>
              </w:r>
            </w:hyperlink>
            <w:r>
              <w:t xml:space="preserve"> </w:t>
            </w:r>
          </w:p>
          <w:p w14:paraId="4D0A88CE" w14:textId="27E88257" w:rsidR="00542CB8" w:rsidRPr="00542CB8" w:rsidRDefault="00542CB8" w:rsidP="00542CB8">
            <w:pPr>
              <w:rPr>
                <w:sz w:val="12"/>
                <w:szCs w:val="12"/>
              </w:rPr>
            </w:pPr>
          </w:p>
        </w:tc>
      </w:tr>
    </w:tbl>
    <w:p w14:paraId="30FFF5CD" w14:textId="77777777" w:rsidR="006458BE" w:rsidRDefault="006458BE" w:rsidP="006458BE">
      <w:pPr>
        <w:jc w:val="both"/>
        <w:rPr>
          <w:sz w:val="12"/>
          <w:szCs w:val="12"/>
        </w:rPr>
      </w:pPr>
    </w:p>
    <w:p w14:paraId="63A4BCD3" w14:textId="77777777" w:rsidR="00542CB8" w:rsidRPr="00542CB8" w:rsidRDefault="00542CB8" w:rsidP="006458BE">
      <w:pPr>
        <w:jc w:val="both"/>
        <w:rPr>
          <w:sz w:val="12"/>
          <w:szCs w:val="12"/>
        </w:rPr>
      </w:pPr>
    </w:p>
    <w:p w14:paraId="298EA27C" w14:textId="1D667592" w:rsidR="006458BE" w:rsidRPr="002A11B2" w:rsidRDefault="002A11B2" w:rsidP="002A11B2">
      <w:pPr>
        <w:tabs>
          <w:tab w:val="left" w:pos="426"/>
        </w:tabs>
        <w:rPr>
          <w:b/>
          <w:bCs/>
          <w:sz w:val="22"/>
          <w:szCs w:val="22"/>
          <w:lang w:val="id-ID"/>
        </w:rPr>
      </w:pPr>
      <w:r w:rsidRPr="002A11B2">
        <w:rPr>
          <w:b/>
          <w:bCs/>
          <w:sz w:val="22"/>
          <w:szCs w:val="22"/>
          <w:lang w:val="en-GB"/>
        </w:rPr>
        <w:t xml:space="preserve">1- </w:t>
      </w:r>
      <w:r w:rsidR="006458BE" w:rsidRPr="002A11B2">
        <w:rPr>
          <w:b/>
          <w:bCs/>
          <w:sz w:val="22"/>
          <w:szCs w:val="22"/>
          <w:lang w:val="id-ID"/>
        </w:rPr>
        <w:t>INTRODUCTION</w:t>
      </w:r>
      <w:r w:rsidR="00AB09C1" w:rsidRPr="002A11B2">
        <w:rPr>
          <w:b/>
          <w:bCs/>
          <w:sz w:val="22"/>
          <w:szCs w:val="22"/>
        </w:rPr>
        <w:t xml:space="preserve"> </w:t>
      </w:r>
    </w:p>
    <w:p w14:paraId="126A7A0E" w14:textId="77777777" w:rsidR="00AB09C1" w:rsidRPr="00D90ADF" w:rsidRDefault="00AB09C1" w:rsidP="00D90ADF">
      <w:pPr>
        <w:tabs>
          <w:tab w:val="left" w:pos="426"/>
        </w:tabs>
        <w:rPr>
          <w:b/>
          <w:bCs/>
          <w:sz w:val="12"/>
          <w:szCs w:val="12"/>
          <w:lang w:val="en-GB"/>
        </w:rPr>
      </w:pPr>
    </w:p>
    <w:p w14:paraId="2F97A5DD" w14:textId="749C53A3" w:rsidR="00D90ADF" w:rsidRDefault="00517480" w:rsidP="00462154">
      <w:pPr>
        <w:ind w:firstLine="720"/>
        <w:rPr>
          <w:rFonts w:asciiTheme="majorBidi" w:hAnsiTheme="majorBidi" w:cstheme="majorBidi"/>
          <w:lang w:bidi="ar-IQ"/>
        </w:rPr>
      </w:pPr>
      <w:r w:rsidRPr="00517480">
        <w:t>The major important forms of thalassaemia result from an autosomal mutant gene that reduces the rate of synthesis of α- and β-polypeptide chains of HbA</w:t>
      </w:r>
      <w:r>
        <w:rPr>
          <w:sz w:val="24"/>
          <w:szCs w:val="24"/>
        </w:rPr>
        <w:t xml:space="preserve"> </w:t>
      </w:r>
      <w:r w:rsidR="00D90ADF">
        <w:rPr>
          <w:rFonts w:asciiTheme="majorBidi" w:hAnsiTheme="majorBidi" w:cstheme="majorBidi"/>
          <w:lang w:bidi="ar-IQ"/>
        </w:rPr>
        <w:t>[</w:t>
      </w:r>
      <w:r w:rsidR="00960074" w:rsidRPr="00960074">
        <w:rPr>
          <w:rFonts w:asciiTheme="majorBidi" w:hAnsiTheme="majorBidi" w:cstheme="majorBidi"/>
          <w:lang w:bidi="ar-IQ"/>
        </w:rPr>
        <w:t>1, 2</w:t>
      </w:r>
      <w:r w:rsidR="00D90ADF">
        <w:rPr>
          <w:rFonts w:asciiTheme="majorBidi" w:hAnsiTheme="majorBidi" w:cstheme="majorBidi"/>
          <w:lang w:bidi="ar-IQ"/>
        </w:rPr>
        <w:t>]</w:t>
      </w:r>
      <w:r w:rsidR="00960074" w:rsidRPr="00960074">
        <w:rPr>
          <w:rFonts w:asciiTheme="majorBidi" w:hAnsiTheme="majorBidi" w:cstheme="majorBidi"/>
          <w:lang w:bidi="ar-IQ"/>
        </w:rPr>
        <w:t>.</w:t>
      </w:r>
      <w:bookmarkStart w:id="1" w:name="_Hlk80000657"/>
      <w:bookmarkStart w:id="2" w:name="_Hlk78354294"/>
      <w:r w:rsidR="00D90ADF">
        <w:rPr>
          <w:rFonts w:asciiTheme="majorBidi" w:hAnsiTheme="majorBidi" w:cstheme="majorBidi"/>
          <w:lang w:bidi="ar-IQ"/>
        </w:rPr>
        <w:t xml:space="preserve"> </w:t>
      </w:r>
    </w:p>
    <w:p w14:paraId="0B6EC426" w14:textId="77777777" w:rsidR="00517480" w:rsidRPr="00D90ADF" w:rsidRDefault="00517480" w:rsidP="00517480">
      <w:pPr>
        <w:rPr>
          <w:rFonts w:asciiTheme="majorBidi" w:hAnsiTheme="majorBidi" w:cstheme="majorBidi"/>
          <w:sz w:val="12"/>
          <w:szCs w:val="12"/>
          <w:lang w:bidi="ar-IQ"/>
        </w:rPr>
      </w:pPr>
    </w:p>
    <w:p w14:paraId="68636FE0" w14:textId="5D7850E2" w:rsidR="00960074" w:rsidRPr="00960074" w:rsidRDefault="00341927" w:rsidP="00960074">
      <w:pPr>
        <w:jc w:val="both"/>
        <w:rPr>
          <w:rFonts w:asciiTheme="majorBidi" w:hAnsiTheme="majorBidi" w:cstheme="majorBidi"/>
          <w:lang w:bidi="ar-IQ"/>
        </w:rPr>
      </w:pPr>
      <w:r w:rsidRPr="00960074">
        <w:rPr>
          <w:rFonts w:asciiTheme="majorBidi" w:hAnsiTheme="majorBidi" w:cstheme="majorBidi"/>
          <w:lang w:bidi="ar-IQ"/>
        </w:rPr>
        <w:t>Β-Thalassemia</w:t>
      </w:r>
      <w:r w:rsidR="00960074" w:rsidRPr="00960074">
        <w:rPr>
          <w:rFonts w:asciiTheme="majorBidi" w:hAnsiTheme="majorBidi" w:cstheme="majorBidi"/>
          <w:lang w:bidi="ar-IQ"/>
        </w:rPr>
        <w:t xml:space="preserve">, which is characterized by impaired beta globin chain synthesis. </w:t>
      </w:r>
      <w:r w:rsidRPr="00960074">
        <w:rPr>
          <w:rFonts w:asciiTheme="majorBidi" w:hAnsiTheme="majorBidi" w:cstheme="majorBidi"/>
          <w:lang w:bidi="ar-IQ"/>
        </w:rPr>
        <w:t>Β-thalassemia</w:t>
      </w:r>
      <w:r w:rsidR="00960074" w:rsidRPr="00960074">
        <w:rPr>
          <w:rFonts w:asciiTheme="majorBidi" w:hAnsiTheme="majorBidi" w:cstheme="majorBidi"/>
          <w:lang w:bidi="ar-IQ"/>
        </w:rPr>
        <w:t xml:space="preserve"> major, It is a severe and potentially fatal anemia marked by ineffective red blood cell production</w:t>
      </w:r>
      <w:r w:rsidR="00960074" w:rsidRPr="00960074">
        <w:rPr>
          <w:rFonts w:asciiTheme="majorBidi" w:hAnsiTheme="majorBidi" w:cstheme="majorBidi" w:hint="cs"/>
          <w:rtl/>
          <w:lang w:bidi="ar-IQ"/>
        </w:rPr>
        <w:t xml:space="preserve"> </w:t>
      </w:r>
      <w:r w:rsidR="00D90ADF">
        <w:rPr>
          <w:rFonts w:asciiTheme="majorBidi" w:hAnsiTheme="majorBidi" w:cstheme="majorBidi"/>
          <w:lang w:bidi="ar-IQ"/>
        </w:rPr>
        <w:t>[3]</w:t>
      </w:r>
      <w:r w:rsidR="00960074" w:rsidRPr="00960074">
        <w:rPr>
          <w:rFonts w:asciiTheme="majorBidi" w:hAnsiTheme="majorBidi" w:cstheme="majorBidi"/>
          <w:lang w:bidi="ar-IQ"/>
        </w:rPr>
        <w:t>.</w:t>
      </w:r>
      <w:r w:rsidR="00D90ADF">
        <w:rPr>
          <w:rFonts w:asciiTheme="majorBidi" w:hAnsiTheme="majorBidi" w:cstheme="majorBidi"/>
          <w:lang w:bidi="ar-IQ"/>
        </w:rPr>
        <w:t xml:space="preserve"> </w:t>
      </w:r>
    </w:p>
    <w:p w14:paraId="23B06EC0" w14:textId="77777777" w:rsidR="00D90ADF" w:rsidRPr="00D90ADF" w:rsidRDefault="00D90ADF" w:rsidP="00960074">
      <w:pPr>
        <w:jc w:val="both"/>
        <w:rPr>
          <w:rFonts w:asciiTheme="majorBidi" w:hAnsiTheme="majorBidi" w:cstheme="majorBidi"/>
          <w:sz w:val="12"/>
          <w:szCs w:val="12"/>
          <w:lang w:bidi="ar-IQ"/>
        </w:rPr>
      </w:pPr>
    </w:p>
    <w:p w14:paraId="49C7C495" w14:textId="2961C9D5" w:rsidR="00960074" w:rsidRPr="00960074" w:rsidRDefault="00960074" w:rsidP="00960074">
      <w:pPr>
        <w:jc w:val="both"/>
        <w:rPr>
          <w:rFonts w:asciiTheme="majorBidi" w:hAnsiTheme="majorBidi" w:cstheme="majorBidi"/>
          <w:lang w:bidi="ar-IQ"/>
        </w:rPr>
      </w:pPr>
      <w:r w:rsidRPr="00960074">
        <w:rPr>
          <w:rFonts w:asciiTheme="majorBidi" w:hAnsiTheme="majorBidi" w:cstheme="majorBidi"/>
          <w:lang w:bidi="ar-IQ"/>
        </w:rPr>
        <w:t>The treatment of β-thalassemia patients encompasses various aspects, including blood transfusions. However, these transfusions result in iron overload, creating a vicious cycle, It is a severe and potentially fatal anemia characterized by ineffective red blood cell production, particularly affecting organs that gather excess iron, such as the liver, pituita</w:t>
      </w:r>
      <w:r w:rsidR="00D90ADF">
        <w:rPr>
          <w:rFonts w:asciiTheme="majorBidi" w:hAnsiTheme="majorBidi" w:cstheme="majorBidi"/>
          <w:lang w:bidi="ar-IQ"/>
        </w:rPr>
        <w:t>ry gland, pancreas, and heart [4]</w:t>
      </w:r>
      <w:r w:rsidRPr="00960074">
        <w:rPr>
          <w:rFonts w:asciiTheme="majorBidi" w:hAnsiTheme="majorBidi" w:cstheme="majorBidi"/>
          <w:lang w:bidi="ar-IQ"/>
        </w:rPr>
        <w:t>.</w:t>
      </w:r>
      <w:r w:rsidR="00D90ADF">
        <w:rPr>
          <w:rFonts w:asciiTheme="majorBidi" w:hAnsiTheme="majorBidi" w:cstheme="majorBidi"/>
          <w:lang w:bidi="ar-IQ"/>
        </w:rPr>
        <w:t xml:space="preserve"> </w:t>
      </w:r>
    </w:p>
    <w:p w14:paraId="19E5F106" w14:textId="77777777" w:rsidR="00D90ADF" w:rsidRPr="00D90ADF" w:rsidRDefault="00D90ADF" w:rsidP="00960074">
      <w:pPr>
        <w:jc w:val="both"/>
        <w:rPr>
          <w:rFonts w:asciiTheme="majorBidi" w:hAnsiTheme="majorBidi" w:cstheme="majorBidi"/>
          <w:sz w:val="12"/>
          <w:szCs w:val="12"/>
          <w:lang w:bidi="ar-IQ"/>
        </w:rPr>
      </w:pPr>
    </w:p>
    <w:p w14:paraId="0FCD6AAA" w14:textId="62A054D3" w:rsidR="00960074" w:rsidRPr="00960074" w:rsidRDefault="00960074" w:rsidP="00960074">
      <w:pPr>
        <w:jc w:val="both"/>
        <w:rPr>
          <w:rFonts w:asciiTheme="majorBidi" w:hAnsiTheme="majorBidi" w:cstheme="majorBidi"/>
          <w:lang w:bidi="ar-IQ"/>
        </w:rPr>
      </w:pPr>
      <w:r w:rsidRPr="00960074">
        <w:rPr>
          <w:rFonts w:asciiTheme="majorBidi" w:hAnsiTheme="majorBidi" w:cstheme="majorBidi"/>
          <w:lang w:bidi="ar-IQ"/>
        </w:rPr>
        <w:t>Patients with viral hepatitis (B virus and/or C virus) exhibited a notable reduction in white blood cells count compared to those without contamination. Additionally, virally infected β-thalassemia patients exhibited significantly higher values compared</w:t>
      </w:r>
      <w:r w:rsidR="00D90ADF">
        <w:rPr>
          <w:rFonts w:asciiTheme="majorBidi" w:hAnsiTheme="majorBidi" w:cstheme="majorBidi"/>
          <w:lang w:bidi="ar-IQ"/>
        </w:rPr>
        <w:t xml:space="preserve"> to those without infections [5]</w:t>
      </w:r>
      <w:r w:rsidRPr="00960074">
        <w:rPr>
          <w:rFonts w:asciiTheme="majorBidi" w:hAnsiTheme="majorBidi" w:cstheme="majorBidi"/>
          <w:lang w:bidi="ar-IQ"/>
        </w:rPr>
        <w:t>.</w:t>
      </w:r>
      <w:r w:rsidR="00D90ADF">
        <w:rPr>
          <w:rFonts w:asciiTheme="majorBidi" w:hAnsiTheme="majorBidi" w:cstheme="majorBidi"/>
          <w:lang w:bidi="ar-IQ"/>
        </w:rPr>
        <w:t xml:space="preserve"> </w:t>
      </w:r>
    </w:p>
    <w:p w14:paraId="0045B2A8" w14:textId="77777777" w:rsidR="00D90ADF" w:rsidRPr="00D90ADF" w:rsidRDefault="00D90ADF" w:rsidP="00960074">
      <w:pPr>
        <w:jc w:val="both"/>
        <w:rPr>
          <w:rFonts w:asciiTheme="majorBidi" w:hAnsiTheme="majorBidi" w:cstheme="majorBidi"/>
          <w:sz w:val="12"/>
          <w:szCs w:val="12"/>
          <w:lang w:bidi="ar-IQ"/>
        </w:rPr>
      </w:pPr>
    </w:p>
    <w:p w14:paraId="5681A9C3" w14:textId="6B030381" w:rsidR="00960074" w:rsidRPr="00960074" w:rsidRDefault="00960074" w:rsidP="00960074">
      <w:pPr>
        <w:jc w:val="both"/>
        <w:rPr>
          <w:rFonts w:asciiTheme="majorBidi" w:hAnsiTheme="majorBidi" w:cstheme="majorBidi"/>
          <w:lang w:bidi="ar-IQ"/>
        </w:rPr>
      </w:pPr>
      <w:r w:rsidRPr="00960074">
        <w:rPr>
          <w:rFonts w:asciiTheme="majorBidi" w:hAnsiTheme="majorBidi" w:cstheme="majorBidi"/>
          <w:lang w:bidi="ar-IQ"/>
        </w:rPr>
        <w:lastRenderedPageBreak/>
        <w:t>Interleukin-6 had been found an increase in βeta Thalassemia patients and this may be due to seve</w:t>
      </w:r>
      <w:r w:rsidR="00D90ADF">
        <w:rPr>
          <w:rFonts w:asciiTheme="majorBidi" w:hAnsiTheme="majorBidi" w:cstheme="majorBidi"/>
          <w:lang w:bidi="ar-IQ"/>
        </w:rPr>
        <w:t>ral blood transfusions [6, 7, 8]</w:t>
      </w:r>
      <w:r w:rsidRPr="00960074">
        <w:rPr>
          <w:rFonts w:asciiTheme="majorBidi" w:hAnsiTheme="majorBidi" w:cstheme="majorBidi"/>
          <w:lang w:bidi="ar-IQ"/>
        </w:rPr>
        <w:t>.</w:t>
      </w:r>
      <w:r w:rsidR="00D90ADF">
        <w:rPr>
          <w:rFonts w:asciiTheme="majorBidi" w:hAnsiTheme="majorBidi" w:cstheme="majorBidi"/>
          <w:lang w:bidi="ar-IQ"/>
        </w:rPr>
        <w:t xml:space="preserve"> </w:t>
      </w:r>
    </w:p>
    <w:p w14:paraId="475A8BE9" w14:textId="6ACF2494" w:rsidR="00960074" w:rsidRPr="00960074" w:rsidRDefault="00960074" w:rsidP="00D90ADF">
      <w:pPr>
        <w:jc w:val="both"/>
        <w:rPr>
          <w:rFonts w:asciiTheme="majorBidi" w:hAnsiTheme="majorBidi" w:cstheme="majorBidi"/>
          <w:lang w:bidi="ar-IQ"/>
        </w:rPr>
      </w:pPr>
      <w:r w:rsidRPr="00960074">
        <w:rPr>
          <w:rFonts w:asciiTheme="majorBidi" w:hAnsiTheme="majorBidi" w:cstheme="majorBidi"/>
          <w:lang w:bidi="ar-IQ"/>
        </w:rPr>
        <w:t xml:space="preserve">Interferon-gamma (IFN-γ) is a type of cytokine. </w:t>
      </w:r>
      <w:r w:rsidR="00D90ADF">
        <w:rPr>
          <w:rFonts w:asciiTheme="majorBidi" w:hAnsiTheme="majorBidi" w:cstheme="majorBidi"/>
          <w:lang w:bidi="ar-IQ"/>
        </w:rPr>
        <w:t>T</w:t>
      </w:r>
      <w:r w:rsidRPr="00960074">
        <w:rPr>
          <w:rFonts w:asciiTheme="majorBidi" w:hAnsiTheme="majorBidi" w:cstheme="majorBidi"/>
          <w:lang w:bidi="ar-IQ"/>
        </w:rPr>
        <w:t xml:space="preserve">hat promotes inflammation by activating immune cells and improving </w:t>
      </w:r>
      <w:r w:rsidR="00D90ADF">
        <w:rPr>
          <w:rFonts w:asciiTheme="majorBidi" w:hAnsiTheme="majorBidi" w:cstheme="majorBidi"/>
          <w:lang w:bidi="ar-IQ"/>
        </w:rPr>
        <w:t>antigen presentation [9, 10, 11]</w:t>
      </w:r>
      <w:r w:rsidRPr="00960074">
        <w:rPr>
          <w:rFonts w:asciiTheme="majorBidi" w:hAnsiTheme="majorBidi" w:cstheme="majorBidi"/>
          <w:lang w:bidi="ar-IQ"/>
        </w:rPr>
        <w:t xml:space="preserve">. </w:t>
      </w:r>
    </w:p>
    <w:p w14:paraId="32ADC0FB" w14:textId="77777777" w:rsidR="00D90ADF" w:rsidRPr="00D90ADF" w:rsidRDefault="00D90ADF" w:rsidP="00960074">
      <w:pPr>
        <w:jc w:val="both"/>
        <w:rPr>
          <w:rFonts w:asciiTheme="majorBidi" w:hAnsiTheme="majorBidi" w:cstheme="majorBidi"/>
          <w:sz w:val="12"/>
          <w:szCs w:val="12"/>
          <w:lang w:bidi="ar-IQ"/>
        </w:rPr>
      </w:pPr>
    </w:p>
    <w:p w14:paraId="77B63CF6" w14:textId="69D609BE" w:rsidR="00960074" w:rsidRPr="00960074" w:rsidRDefault="00960074" w:rsidP="00960074">
      <w:pPr>
        <w:jc w:val="both"/>
        <w:rPr>
          <w:rFonts w:asciiTheme="majorBidi" w:hAnsiTheme="majorBidi" w:cstheme="majorBidi"/>
          <w:lang w:bidi="ar-IQ"/>
        </w:rPr>
      </w:pPr>
      <w:r w:rsidRPr="00960074">
        <w:rPr>
          <w:rFonts w:asciiTheme="majorBidi" w:hAnsiTheme="majorBidi" w:cstheme="majorBidi"/>
          <w:lang w:bidi="ar-IQ"/>
        </w:rPr>
        <w:t>IFN-γ is secreted by natural killer cells during the innate immune response, as well as by CD4+ Th1 cells and CD8+ cytotoxic T lymphocytes (CTLs) upon activation of th</w:t>
      </w:r>
      <w:r w:rsidR="00D90ADF">
        <w:rPr>
          <w:rFonts w:asciiTheme="majorBidi" w:hAnsiTheme="majorBidi" w:cstheme="majorBidi"/>
          <w:lang w:bidi="ar-IQ"/>
        </w:rPr>
        <w:t>e adaptive immune system [12, 13]</w:t>
      </w:r>
      <w:r w:rsidRPr="00960074">
        <w:rPr>
          <w:rFonts w:asciiTheme="majorBidi" w:hAnsiTheme="majorBidi" w:cstheme="majorBidi"/>
          <w:lang w:bidi="ar-IQ"/>
        </w:rPr>
        <w:t>.</w:t>
      </w:r>
      <w:r w:rsidR="00D90ADF">
        <w:rPr>
          <w:rFonts w:asciiTheme="majorBidi" w:hAnsiTheme="majorBidi" w:cstheme="majorBidi"/>
          <w:lang w:bidi="ar-IQ"/>
        </w:rPr>
        <w:t xml:space="preserve"> </w:t>
      </w:r>
    </w:p>
    <w:p w14:paraId="1439F150" w14:textId="77777777" w:rsidR="00D90ADF" w:rsidRPr="00D90ADF" w:rsidRDefault="00D90ADF" w:rsidP="00D90ADF">
      <w:pPr>
        <w:jc w:val="both"/>
        <w:rPr>
          <w:rFonts w:asciiTheme="majorBidi" w:hAnsiTheme="majorBidi" w:cstheme="majorBidi"/>
          <w:sz w:val="12"/>
          <w:szCs w:val="12"/>
          <w:lang w:bidi="ar-IQ"/>
        </w:rPr>
      </w:pPr>
    </w:p>
    <w:p w14:paraId="7C495A5C" w14:textId="6C643E0F" w:rsidR="00AB09C1" w:rsidRDefault="00960074" w:rsidP="00D90ADF">
      <w:pPr>
        <w:jc w:val="both"/>
        <w:rPr>
          <w:rStyle w:val="Hyperlink"/>
        </w:rPr>
      </w:pPr>
      <w:r w:rsidRPr="00960074">
        <w:rPr>
          <w:rFonts w:asciiTheme="majorBidi" w:hAnsiTheme="majorBidi" w:cstheme="majorBidi"/>
          <w:lang w:bidi="ar-IQ"/>
        </w:rPr>
        <w:t xml:space="preserve">The objective of the study is examine the functions of IL-6 and IFN-¥ in Beta Thalassemia Major </w:t>
      </w:r>
      <w:r w:rsidR="00517480" w:rsidRPr="00960074">
        <w:rPr>
          <w:rFonts w:asciiTheme="majorBidi" w:hAnsiTheme="majorBidi" w:cstheme="majorBidi"/>
          <w:lang w:bidi="ar-IQ"/>
        </w:rPr>
        <w:t>Individual</w:t>
      </w:r>
      <w:r w:rsidRPr="00960074">
        <w:rPr>
          <w:rFonts w:asciiTheme="majorBidi" w:hAnsiTheme="majorBidi" w:cstheme="majorBidi"/>
          <w:lang w:bidi="ar-IQ"/>
        </w:rPr>
        <w:t xml:space="preserve"> as compare with α-thalassemia patients.</w:t>
      </w:r>
      <w:r>
        <w:rPr>
          <w:rStyle w:val="Hyperlink"/>
        </w:rPr>
        <w:t xml:space="preserve"> </w:t>
      </w:r>
    </w:p>
    <w:p w14:paraId="06470DEC" w14:textId="77777777" w:rsidR="0015275E" w:rsidRDefault="0015275E" w:rsidP="00D90ADF">
      <w:pPr>
        <w:jc w:val="both"/>
        <w:rPr>
          <w:rStyle w:val="Hyperlink"/>
          <w:sz w:val="12"/>
          <w:szCs w:val="12"/>
        </w:rPr>
      </w:pPr>
    </w:p>
    <w:p w14:paraId="6EEDD8F8" w14:textId="77777777" w:rsidR="0015275E" w:rsidRPr="0015275E" w:rsidRDefault="0015275E" w:rsidP="00D90ADF">
      <w:pPr>
        <w:jc w:val="both"/>
        <w:rPr>
          <w:rStyle w:val="Hyperlink"/>
          <w:sz w:val="12"/>
          <w:szCs w:val="12"/>
        </w:rPr>
      </w:pPr>
    </w:p>
    <w:p w14:paraId="557DFE59" w14:textId="5CADA548" w:rsidR="00960074" w:rsidRPr="0015275E" w:rsidRDefault="0015275E" w:rsidP="00960074">
      <w:pPr>
        <w:jc w:val="both"/>
        <w:rPr>
          <w:rFonts w:asciiTheme="majorBidi" w:hAnsiTheme="majorBidi" w:cstheme="majorBidi"/>
          <w:b/>
          <w:bCs/>
          <w:sz w:val="22"/>
          <w:szCs w:val="22"/>
          <w:lang w:bidi="ar-IQ"/>
        </w:rPr>
      </w:pPr>
      <w:r>
        <w:rPr>
          <w:rFonts w:asciiTheme="majorBidi" w:hAnsiTheme="majorBidi" w:cstheme="majorBidi"/>
          <w:b/>
          <w:bCs/>
          <w:sz w:val="22"/>
          <w:szCs w:val="22"/>
          <w:lang w:bidi="ar-IQ"/>
        </w:rPr>
        <w:t xml:space="preserve">2- METHODS AND </w:t>
      </w:r>
      <w:r w:rsidR="00517480">
        <w:rPr>
          <w:rFonts w:asciiTheme="majorBidi" w:hAnsiTheme="majorBidi" w:cstheme="majorBidi"/>
          <w:b/>
          <w:bCs/>
          <w:sz w:val="22"/>
          <w:szCs w:val="22"/>
          <w:lang w:bidi="ar-IQ"/>
        </w:rPr>
        <w:t xml:space="preserve">STATISTICAL EVALUATION </w:t>
      </w:r>
    </w:p>
    <w:p w14:paraId="251C702A" w14:textId="77777777" w:rsidR="00AB09C1" w:rsidRPr="00517480" w:rsidRDefault="00AB09C1" w:rsidP="00960074">
      <w:pPr>
        <w:jc w:val="both"/>
        <w:rPr>
          <w:rFonts w:asciiTheme="majorBidi" w:hAnsiTheme="majorBidi" w:cstheme="majorBidi"/>
          <w:b/>
          <w:bCs/>
          <w:sz w:val="12"/>
          <w:szCs w:val="12"/>
          <w:lang w:bidi="ar-IQ"/>
        </w:rPr>
      </w:pPr>
    </w:p>
    <w:p w14:paraId="5D9392CB" w14:textId="4E74686C" w:rsidR="00960074" w:rsidRDefault="00960074" w:rsidP="00680EFA">
      <w:pPr>
        <w:ind w:firstLine="720"/>
        <w:jc w:val="both"/>
        <w:rPr>
          <w:rFonts w:asciiTheme="majorBidi" w:hAnsiTheme="majorBidi" w:cstheme="majorBidi"/>
          <w:lang w:bidi="ar-IQ"/>
        </w:rPr>
      </w:pPr>
      <w:r w:rsidRPr="00960074">
        <w:rPr>
          <w:rFonts w:asciiTheme="majorBidi" w:hAnsiTheme="majorBidi" w:cstheme="majorBidi"/>
          <w:lang w:bidi="ar-IQ"/>
        </w:rPr>
        <w:t xml:space="preserve">Eighty male subjects were participated in the present study, (20 male patients with Beta thalassemia, 20 male patients with alfa </w:t>
      </w:r>
      <w:r w:rsidR="00680EFA" w:rsidRPr="00960074">
        <w:rPr>
          <w:rFonts w:asciiTheme="majorBidi" w:hAnsiTheme="majorBidi" w:cstheme="majorBidi"/>
          <w:lang w:bidi="ar-IQ"/>
        </w:rPr>
        <w:t>thalassemia and</w:t>
      </w:r>
      <w:r w:rsidRPr="00960074">
        <w:rPr>
          <w:rFonts w:asciiTheme="majorBidi" w:hAnsiTheme="majorBidi" w:cstheme="majorBidi"/>
          <w:lang w:bidi="ar-IQ"/>
        </w:rPr>
        <w:t xml:space="preserve"> 40 male normal healthy subjects. The work was done in Al-baldy hospital in Baghdad from beginning of December 26, 2023 to the end of April 2024.</w:t>
      </w:r>
      <w:r w:rsidR="00680EFA">
        <w:rPr>
          <w:rFonts w:asciiTheme="majorBidi" w:hAnsiTheme="majorBidi" w:cstheme="majorBidi"/>
          <w:lang w:bidi="ar-IQ"/>
        </w:rPr>
        <w:t xml:space="preserve"> </w:t>
      </w:r>
    </w:p>
    <w:p w14:paraId="62D6D03F" w14:textId="77777777" w:rsidR="00680EFA" w:rsidRPr="00680EFA" w:rsidRDefault="00680EFA" w:rsidP="00680EFA">
      <w:pPr>
        <w:jc w:val="both"/>
        <w:rPr>
          <w:rFonts w:asciiTheme="majorBidi" w:hAnsiTheme="majorBidi" w:cstheme="majorBidi"/>
          <w:sz w:val="12"/>
          <w:szCs w:val="12"/>
          <w:lang w:bidi="ar-IQ"/>
        </w:rPr>
      </w:pPr>
    </w:p>
    <w:p w14:paraId="01735642" w14:textId="5B7302C3" w:rsidR="00960074" w:rsidRDefault="00960074" w:rsidP="00960074">
      <w:pPr>
        <w:jc w:val="both"/>
        <w:rPr>
          <w:rFonts w:asciiTheme="majorBidi" w:hAnsiTheme="majorBidi" w:cstheme="majorBidi"/>
          <w:lang w:bidi="ar-IQ"/>
        </w:rPr>
      </w:pPr>
      <w:r w:rsidRPr="00960074">
        <w:rPr>
          <w:rFonts w:asciiTheme="majorBidi" w:hAnsiTheme="majorBidi" w:cstheme="majorBidi"/>
          <w:lang w:bidi="ar-IQ"/>
        </w:rPr>
        <w:t xml:space="preserve">All subjects were aged between (8-18) years. Blood was drawn through antecubital vein puncture between 8.00 am and 11.00 am. Serum isolated from blood, </w:t>
      </w:r>
      <w:r w:rsidR="00462154" w:rsidRPr="00960074">
        <w:rPr>
          <w:rFonts w:asciiTheme="majorBidi" w:hAnsiTheme="majorBidi" w:cstheme="majorBidi"/>
          <w:lang w:bidi="ar-IQ"/>
        </w:rPr>
        <w:t>and then</w:t>
      </w:r>
      <w:r w:rsidR="00462154">
        <w:rPr>
          <w:rFonts w:asciiTheme="majorBidi" w:hAnsiTheme="majorBidi" w:cstheme="majorBidi"/>
          <w:lang w:bidi="ar-IQ"/>
        </w:rPr>
        <w:t xml:space="preserve"> </w:t>
      </w:r>
      <w:r w:rsidR="00462154">
        <w:rPr>
          <w:rFonts w:asciiTheme="majorBidi" w:hAnsiTheme="majorBidi" w:cstheme="majorBidi"/>
          <w:lang w:val="en-GB" w:bidi="ar-IQ"/>
        </w:rPr>
        <w:t>was</w:t>
      </w:r>
      <w:r w:rsidRPr="00960074">
        <w:rPr>
          <w:rFonts w:asciiTheme="majorBidi" w:hAnsiTheme="majorBidi" w:cstheme="majorBidi"/>
          <w:lang w:bidi="ar-IQ"/>
        </w:rPr>
        <w:t xml:space="preserve"> frozen at −20 °C until measurements.</w:t>
      </w:r>
      <w:r w:rsidR="00680EFA">
        <w:rPr>
          <w:rFonts w:asciiTheme="majorBidi" w:hAnsiTheme="majorBidi" w:cstheme="majorBidi"/>
          <w:lang w:bidi="ar-IQ"/>
        </w:rPr>
        <w:t xml:space="preserve"> </w:t>
      </w:r>
    </w:p>
    <w:p w14:paraId="2EBD4F14" w14:textId="77777777" w:rsidR="00680EFA" w:rsidRPr="00680EFA" w:rsidRDefault="00680EFA" w:rsidP="00960074">
      <w:pPr>
        <w:jc w:val="both"/>
        <w:rPr>
          <w:rFonts w:asciiTheme="majorBidi" w:hAnsiTheme="majorBidi" w:cstheme="majorBidi"/>
          <w:sz w:val="12"/>
          <w:szCs w:val="12"/>
          <w:lang w:bidi="ar-IQ"/>
        </w:rPr>
      </w:pPr>
    </w:p>
    <w:p w14:paraId="40C0D3A8" w14:textId="14F5993D" w:rsidR="00960074" w:rsidRPr="00960074" w:rsidRDefault="00960074" w:rsidP="00960074">
      <w:pPr>
        <w:jc w:val="both"/>
        <w:rPr>
          <w:rFonts w:asciiTheme="majorBidi" w:hAnsiTheme="majorBidi" w:cstheme="majorBidi"/>
          <w:lang w:bidi="ar-IQ"/>
        </w:rPr>
      </w:pPr>
      <w:r w:rsidRPr="00960074">
        <w:rPr>
          <w:rFonts w:asciiTheme="majorBidi" w:hAnsiTheme="majorBidi" w:cstheme="majorBidi"/>
          <w:lang w:bidi="ar-IQ"/>
        </w:rPr>
        <w:t>Height and weight were recorded, and the body mass index (BMI) was determined by dividing the weight (in kilograms)</w:t>
      </w:r>
      <w:r w:rsidR="00680EFA">
        <w:rPr>
          <w:rFonts w:asciiTheme="majorBidi" w:hAnsiTheme="majorBidi" w:cstheme="majorBidi"/>
          <w:lang w:bidi="ar-IQ"/>
        </w:rPr>
        <w:t xml:space="preserve"> by the height (m2) formula [14]</w:t>
      </w:r>
      <w:r w:rsidRPr="00960074">
        <w:rPr>
          <w:rFonts w:asciiTheme="majorBidi" w:hAnsiTheme="majorBidi" w:cstheme="majorBidi"/>
          <w:lang w:bidi="ar-IQ"/>
        </w:rPr>
        <w:t>.</w:t>
      </w:r>
      <w:r w:rsidR="00680EFA">
        <w:rPr>
          <w:rFonts w:asciiTheme="majorBidi" w:hAnsiTheme="majorBidi" w:cstheme="majorBidi"/>
          <w:lang w:bidi="ar-IQ"/>
        </w:rPr>
        <w:t xml:space="preserve"> </w:t>
      </w:r>
    </w:p>
    <w:p w14:paraId="20618D9E" w14:textId="77777777" w:rsidR="00680EFA" w:rsidRPr="00680EFA" w:rsidRDefault="00680EFA" w:rsidP="00960074">
      <w:pPr>
        <w:jc w:val="both"/>
        <w:rPr>
          <w:rFonts w:asciiTheme="majorBidi" w:hAnsiTheme="majorBidi" w:cstheme="majorBidi"/>
          <w:sz w:val="12"/>
          <w:szCs w:val="12"/>
          <w:lang w:bidi="ar-IQ"/>
        </w:rPr>
      </w:pPr>
    </w:p>
    <w:p w14:paraId="408497EB" w14:textId="3D11211F" w:rsidR="00960074" w:rsidRDefault="00960074" w:rsidP="00960074">
      <w:pPr>
        <w:jc w:val="both"/>
        <w:rPr>
          <w:rFonts w:asciiTheme="majorBidi" w:hAnsiTheme="majorBidi" w:cstheme="majorBidi"/>
          <w:lang w:bidi="ar-IQ"/>
        </w:rPr>
      </w:pPr>
      <w:r w:rsidRPr="00960074">
        <w:rPr>
          <w:rFonts w:asciiTheme="majorBidi" w:hAnsiTheme="majorBidi" w:cstheme="majorBidi"/>
          <w:lang w:bidi="ar-IQ"/>
        </w:rPr>
        <w:t>Body weight and height were measured. Blood parameters (PCV, hemoglobin and WBCs) were measured according standard procedures.</w:t>
      </w:r>
      <w:r w:rsidR="00680EFA">
        <w:rPr>
          <w:rFonts w:asciiTheme="majorBidi" w:hAnsiTheme="majorBidi" w:cstheme="majorBidi"/>
          <w:lang w:bidi="ar-IQ"/>
        </w:rPr>
        <w:t xml:space="preserve"> </w:t>
      </w:r>
    </w:p>
    <w:p w14:paraId="32CB51E2" w14:textId="77777777" w:rsidR="00680EFA" w:rsidRPr="00680EFA" w:rsidRDefault="00680EFA" w:rsidP="00960074">
      <w:pPr>
        <w:jc w:val="both"/>
        <w:rPr>
          <w:rFonts w:asciiTheme="majorBidi" w:hAnsiTheme="majorBidi" w:cstheme="majorBidi"/>
          <w:sz w:val="12"/>
          <w:szCs w:val="12"/>
          <w:lang w:bidi="ar-IQ"/>
        </w:rPr>
      </w:pPr>
    </w:p>
    <w:p w14:paraId="39C4E70A" w14:textId="441BDACD" w:rsidR="00960074" w:rsidRDefault="00960074" w:rsidP="00960074">
      <w:pPr>
        <w:jc w:val="both"/>
        <w:rPr>
          <w:rFonts w:asciiTheme="majorBidi" w:hAnsiTheme="majorBidi" w:cstheme="majorBidi"/>
          <w:lang w:bidi="ar-IQ"/>
        </w:rPr>
      </w:pPr>
      <w:r w:rsidRPr="00960074">
        <w:rPr>
          <w:rFonts w:asciiTheme="majorBidi" w:hAnsiTheme="majorBidi" w:cstheme="majorBidi"/>
          <w:lang w:bidi="ar-IQ"/>
        </w:rPr>
        <w:t>VIDAS instruments were used to measure Serum human ferritin was assessed using the ELFA (Enzyme-Linked Fluorescent Assay) technique. Ferritin levels in the serum were determined with the VIDAS ferritin kit (Biomerieux - 69280).</w:t>
      </w:r>
      <w:r w:rsidR="00680EFA">
        <w:rPr>
          <w:rFonts w:asciiTheme="majorBidi" w:hAnsiTheme="majorBidi" w:cstheme="majorBidi"/>
          <w:lang w:bidi="ar-IQ"/>
        </w:rPr>
        <w:t xml:space="preserve"> </w:t>
      </w:r>
    </w:p>
    <w:p w14:paraId="1188B1DB" w14:textId="77777777" w:rsidR="00680EFA" w:rsidRPr="00680EFA" w:rsidRDefault="00680EFA" w:rsidP="00960074">
      <w:pPr>
        <w:jc w:val="both"/>
        <w:rPr>
          <w:rFonts w:asciiTheme="majorBidi" w:hAnsiTheme="majorBidi" w:cstheme="majorBidi"/>
          <w:sz w:val="12"/>
          <w:szCs w:val="12"/>
          <w:lang w:bidi="ar-IQ"/>
        </w:rPr>
      </w:pPr>
    </w:p>
    <w:p w14:paraId="51E04E36" w14:textId="2CAA04D9" w:rsidR="00960074" w:rsidRDefault="00960074" w:rsidP="00960074">
      <w:pPr>
        <w:jc w:val="both"/>
        <w:rPr>
          <w:rFonts w:asciiTheme="majorBidi" w:hAnsiTheme="majorBidi" w:cstheme="majorBidi"/>
          <w:lang w:bidi="ar-IQ"/>
        </w:rPr>
      </w:pPr>
      <w:r w:rsidRPr="00960074">
        <w:rPr>
          <w:rFonts w:asciiTheme="majorBidi" w:hAnsiTheme="majorBidi" w:cstheme="majorBidi"/>
          <w:lang w:bidi="ar-IQ"/>
        </w:rPr>
        <w:t>IL-6 was measured by kit Enzyme-linked immunoassay (ELISA) is currently the test of choice. IL-6 levels for all samples were measured Using the Human IL-6/Interleukin-6 ELISA Kit from Boster Antibody &amp; ELISA Experts, USA.</w:t>
      </w:r>
    </w:p>
    <w:p w14:paraId="4F07AEBC" w14:textId="77777777" w:rsidR="00AB09C1" w:rsidRPr="00680EFA" w:rsidRDefault="00AB09C1" w:rsidP="00960074">
      <w:pPr>
        <w:jc w:val="both"/>
        <w:rPr>
          <w:rFonts w:asciiTheme="majorBidi" w:hAnsiTheme="majorBidi" w:cstheme="majorBidi"/>
          <w:sz w:val="12"/>
          <w:szCs w:val="12"/>
          <w:lang w:bidi="ar-IQ"/>
        </w:rPr>
      </w:pPr>
    </w:p>
    <w:p w14:paraId="487F44C4" w14:textId="6C1986D0" w:rsidR="00960074" w:rsidRDefault="00960074" w:rsidP="00960074">
      <w:pPr>
        <w:jc w:val="both"/>
      </w:pPr>
      <w:r w:rsidRPr="00960074">
        <w:rPr>
          <w:rFonts w:asciiTheme="majorBidi" w:hAnsiTheme="majorBidi" w:cstheme="majorBidi"/>
          <w:lang w:bidi="ar-IQ"/>
        </w:rPr>
        <w:t>All data are indicated as the mean ± standard deviation. The means of the measured variables the data were analyzed using an unpaired Student’s t-test, with a p-value of less than 0.05 regarded as statistically significant.</w:t>
      </w:r>
      <w:r>
        <w:t xml:space="preserve"> </w:t>
      </w:r>
    </w:p>
    <w:p w14:paraId="19218A7C" w14:textId="77777777" w:rsidR="00AB09C1" w:rsidRDefault="00AB09C1" w:rsidP="00960074">
      <w:pPr>
        <w:jc w:val="both"/>
        <w:rPr>
          <w:sz w:val="12"/>
          <w:szCs w:val="12"/>
        </w:rPr>
      </w:pPr>
    </w:p>
    <w:p w14:paraId="3381B9AB" w14:textId="77777777" w:rsidR="00680EFA" w:rsidRPr="00680EFA" w:rsidRDefault="00680EFA" w:rsidP="00960074">
      <w:pPr>
        <w:jc w:val="both"/>
        <w:rPr>
          <w:sz w:val="12"/>
          <w:szCs w:val="12"/>
        </w:rPr>
      </w:pPr>
    </w:p>
    <w:p w14:paraId="6B95EEB5" w14:textId="62CF60EC" w:rsidR="00AB09C1" w:rsidRPr="008B48DE" w:rsidRDefault="00680EFA" w:rsidP="00AB09C1">
      <w:pPr>
        <w:jc w:val="both"/>
        <w:rPr>
          <w:rFonts w:asciiTheme="majorBidi" w:hAnsiTheme="majorBidi" w:cstheme="majorBidi"/>
          <w:b/>
          <w:bCs/>
          <w:sz w:val="22"/>
          <w:szCs w:val="22"/>
          <w:lang w:bidi="ar-IQ"/>
        </w:rPr>
      </w:pPr>
      <w:r w:rsidRPr="008B48DE">
        <w:rPr>
          <w:rFonts w:asciiTheme="majorBidi" w:hAnsiTheme="majorBidi" w:cstheme="majorBidi"/>
          <w:b/>
          <w:bCs/>
          <w:sz w:val="22"/>
          <w:szCs w:val="22"/>
          <w:lang w:bidi="ar-IQ"/>
        </w:rPr>
        <w:t xml:space="preserve">3- RESULT AND DISCUSSION </w:t>
      </w:r>
    </w:p>
    <w:p w14:paraId="36CA8559" w14:textId="77777777" w:rsidR="00AB09C1" w:rsidRPr="00680EFA" w:rsidRDefault="00AB09C1" w:rsidP="00AB09C1">
      <w:pPr>
        <w:jc w:val="both"/>
        <w:rPr>
          <w:rFonts w:asciiTheme="majorBidi" w:hAnsiTheme="majorBidi" w:cstheme="majorBidi"/>
          <w:b/>
          <w:bCs/>
          <w:sz w:val="12"/>
          <w:szCs w:val="12"/>
          <w:lang w:bidi="ar-IQ"/>
        </w:rPr>
      </w:pPr>
    </w:p>
    <w:p w14:paraId="71F38612" w14:textId="10BE847A" w:rsidR="00AB09C1" w:rsidRDefault="00AB09C1" w:rsidP="008B48DE">
      <w:pPr>
        <w:ind w:firstLine="720"/>
        <w:jc w:val="both"/>
        <w:rPr>
          <w:rFonts w:asciiTheme="majorBidi" w:hAnsiTheme="majorBidi" w:cstheme="majorBidi"/>
          <w:lang w:bidi="ar-IQ"/>
        </w:rPr>
      </w:pPr>
      <w:r w:rsidRPr="00AB09C1">
        <w:rPr>
          <w:rFonts w:asciiTheme="majorBidi" w:hAnsiTheme="majorBidi" w:cstheme="majorBidi"/>
          <w:lang w:bidi="ar-IQ"/>
        </w:rPr>
        <w:t>The present study showed that the body weight and body mass index in older patients was significantly decreased as compared with the control. The present result agrees with previous finding, especially in pa</w:t>
      </w:r>
      <w:r w:rsidR="008B48DE">
        <w:rPr>
          <w:rFonts w:asciiTheme="majorBidi" w:hAnsiTheme="majorBidi" w:cstheme="majorBidi"/>
          <w:lang w:bidi="ar-IQ"/>
        </w:rPr>
        <w:t>tients with regular transfusion</w:t>
      </w:r>
      <w:r w:rsidRPr="00AB09C1">
        <w:rPr>
          <w:rFonts w:asciiTheme="majorBidi" w:hAnsiTheme="majorBidi" w:cstheme="majorBidi"/>
          <w:lang w:bidi="ar-IQ"/>
        </w:rPr>
        <w:t xml:space="preserve"> </w:t>
      </w:r>
      <w:r w:rsidR="008B48DE">
        <w:rPr>
          <w:rFonts w:asciiTheme="majorBidi" w:hAnsiTheme="majorBidi" w:cstheme="majorBidi"/>
          <w:lang w:bidi="ar-IQ"/>
        </w:rPr>
        <w:t>[3]</w:t>
      </w:r>
      <w:r w:rsidRPr="00AB09C1">
        <w:rPr>
          <w:rFonts w:asciiTheme="majorBidi" w:hAnsiTheme="majorBidi" w:cstheme="majorBidi"/>
          <w:lang w:bidi="ar-IQ"/>
        </w:rPr>
        <w:t xml:space="preserve">. Previous studies found that a relationship between regular blood transfusion and reduction in body growth in thalassemia patients, </w:t>
      </w:r>
      <w:r w:rsidR="008B48DE">
        <w:rPr>
          <w:rFonts w:asciiTheme="majorBidi" w:hAnsiTheme="majorBidi" w:cstheme="majorBidi"/>
          <w:lang w:bidi="ar-IQ"/>
        </w:rPr>
        <w:t>[</w:t>
      </w:r>
      <w:r w:rsidRPr="00AB09C1">
        <w:rPr>
          <w:rFonts w:asciiTheme="majorBidi" w:hAnsiTheme="majorBidi" w:cstheme="majorBidi"/>
          <w:lang w:bidi="ar-IQ"/>
        </w:rPr>
        <w:t>4, 5, 14</w:t>
      </w:r>
      <w:r w:rsidR="008B48DE">
        <w:rPr>
          <w:rFonts w:asciiTheme="majorBidi" w:hAnsiTheme="majorBidi" w:cstheme="majorBidi"/>
          <w:lang w:bidi="ar-IQ"/>
        </w:rPr>
        <w:t>]</w:t>
      </w:r>
      <w:r w:rsidRPr="00AB09C1">
        <w:rPr>
          <w:rFonts w:asciiTheme="majorBidi" w:hAnsiTheme="majorBidi" w:cstheme="majorBidi"/>
          <w:lang w:bidi="ar-IQ"/>
        </w:rPr>
        <w:t>.</w:t>
      </w:r>
      <w:r w:rsidR="008B48DE">
        <w:rPr>
          <w:rFonts w:asciiTheme="majorBidi" w:hAnsiTheme="majorBidi" w:cstheme="majorBidi"/>
          <w:lang w:bidi="ar-IQ"/>
        </w:rPr>
        <w:t xml:space="preserve"> </w:t>
      </w:r>
    </w:p>
    <w:p w14:paraId="0F02AEC7" w14:textId="77777777" w:rsidR="00AB09C1" w:rsidRDefault="00AB09C1" w:rsidP="00AB09C1">
      <w:pPr>
        <w:jc w:val="both"/>
        <w:rPr>
          <w:rFonts w:asciiTheme="majorBidi" w:hAnsiTheme="majorBidi" w:cstheme="majorBidi"/>
          <w:sz w:val="12"/>
          <w:szCs w:val="12"/>
          <w:lang w:bidi="ar-IQ"/>
        </w:rPr>
      </w:pPr>
    </w:p>
    <w:p w14:paraId="77ECE54E" w14:textId="77777777" w:rsidR="008B48DE" w:rsidRPr="008B48DE" w:rsidRDefault="008B48DE" w:rsidP="00AB09C1">
      <w:pPr>
        <w:jc w:val="both"/>
        <w:rPr>
          <w:rFonts w:asciiTheme="majorBidi" w:hAnsiTheme="majorBidi" w:cstheme="majorBidi"/>
          <w:sz w:val="12"/>
          <w:szCs w:val="12"/>
          <w:lang w:bidi="ar-IQ"/>
        </w:rPr>
      </w:pPr>
    </w:p>
    <w:p w14:paraId="7EEAC133" w14:textId="2F83ED61" w:rsidR="00AB09C1" w:rsidRDefault="00AB09C1" w:rsidP="008C5566">
      <w:pPr>
        <w:jc w:val="center"/>
        <w:rPr>
          <w:rFonts w:asciiTheme="majorBidi" w:hAnsiTheme="majorBidi" w:cstheme="majorBidi"/>
          <w:lang w:bidi="ar-IQ"/>
        </w:rPr>
      </w:pPr>
      <w:r w:rsidRPr="00AB09C1">
        <w:rPr>
          <w:rFonts w:asciiTheme="majorBidi" w:hAnsiTheme="majorBidi" w:cstheme="majorBidi"/>
          <w:b/>
          <w:bCs/>
          <w:lang w:bidi="ar-IQ"/>
        </w:rPr>
        <w:t xml:space="preserve">Table (1) </w:t>
      </w:r>
      <w:r w:rsidRPr="00AB09C1">
        <w:rPr>
          <w:rFonts w:asciiTheme="majorBidi" w:hAnsiTheme="majorBidi" w:cstheme="majorBidi"/>
          <w:lang w:bidi="ar-IQ"/>
        </w:rPr>
        <w:t>Display the age, body weight, and body mass index of male beta thalassemia patients and male α thalassemia patients.</w:t>
      </w:r>
      <w:r w:rsidR="008C5566">
        <w:rPr>
          <w:rFonts w:asciiTheme="majorBidi" w:hAnsiTheme="majorBidi" w:cstheme="majorBidi"/>
          <w:lang w:bidi="ar-IQ"/>
        </w:rPr>
        <w:t xml:space="preserve"> </w:t>
      </w:r>
    </w:p>
    <w:p w14:paraId="5A0AAB6B" w14:textId="77777777" w:rsidR="00AB09C1" w:rsidRDefault="00AB09C1" w:rsidP="00AB09C1">
      <w:pPr>
        <w:jc w:val="both"/>
        <w:rPr>
          <w:rFonts w:asciiTheme="majorBidi" w:hAnsiTheme="majorBidi" w:cstheme="majorBidi"/>
          <w:lang w:bidi="ar-IQ"/>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2142"/>
        <w:gridCol w:w="2129"/>
        <w:gridCol w:w="2129"/>
      </w:tblGrid>
      <w:tr w:rsidR="00AB09C1" w:rsidRPr="003D6B19" w14:paraId="3BAACDE1" w14:textId="5EB445AD" w:rsidTr="00341927">
        <w:trPr>
          <w:trHeight w:val="722"/>
          <w:jc w:val="center"/>
        </w:trPr>
        <w:tc>
          <w:tcPr>
            <w:tcW w:w="1773" w:type="dxa"/>
          </w:tcPr>
          <w:p w14:paraId="661C316D" w14:textId="14103D29" w:rsidR="00AB09C1" w:rsidRPr="00AB09C1" w:rsidRDefault="00AB09C1" w:rsidP="003412A3">
            <w:pPr>
              <w:jc w:val="center"/>
              <w:rPr>
                <w:rFonts w:asciiTheme="majorBidi" w:hAnsiTheme="majorBidi" w:cstheme="majorBidi"/>
                <w:sz w:val="16"/>
                <w:szCs w:val="16"/>
                <w:lang w:bidi="ar-IQ"/>
              </w:rPr>
            </w:pPr>
            <w:r w:rsidRPr="00AB09C1">
              <w:rPr>
                <w:rFonts w:asciiTheme="majorBidi" w:hAnsiTheme="majorBidi" w:cstheme="majorBidi"/>
                <w:sz w:val="16"/>
                <w:szCs w:val="16"/>
                <w:lang w:bidi="ar-IQ"/>
              </w:rPr>
              <w:t>Parameters</w:t>
            </w:r>
          </w:p>
        </w:tc>
        <w:tc>
          <w:tcPr>
            <w:tcW w:w="2142" w:type="dxa"/>
          </w:tcPr>
          <w:p w14:paraId="62A103ED" w14:textId="781D42CF" w:rsidR="00AB09C1" w:rsidRPr="00AB09C1" w:rsidRDefault="00AB09C1" w:rsidP="003412A3">
            <w:pPr>
              <w:jc w:val="center"/>
              <w:rPr>
                <w:rFonts w:asciiTheme="majorBidi" w:hAnsiTheme="majorBidi" w:cstheme="majorBidi"/>
                <w:sz w:val="16"/>
                <w:szCs w:val="16"/>
                <w:lang w:bidi="ar-IQ"/>
              </w:rPr>
            </w:pPr>
            <w:r w:rsidRPr="00AB09C1">
              <w:rPr>
                <w:rFonts w:asciiTheme="majorBidi" w:hAnsiTheme="majorBidi" w:cstheme="majorBidi"/>
                <w:sz w:val="16"/>
                <w:szCs w:val="16"/>
                <w:lang w:bidi="ar-IQ"/>
              </w:rPr>
              <w:t>β Thalassemia patients</w:t>
            </w:r>
          </w:p>
        </w:tc>
        <w:tc>
          <w:tcPr>
            <w:tcW w:w="2129" w:type="dxa"/>
          </w:tcPr>
          <w:p w14:paraId="5620996D" w14:textId="7CC05194" w:rsidR="00AB09C1" w:rsidRPr="00AB09C1" w:rsidRDefault="00AB09C1" w:rsidP="003412A3">
            <w:pPr>
              <w:jc w:val="center"/>
              <w:rPr>
                <w:rFonts w:asciiTheme="majorBidi" w:hAnsiTheme="majorBidi" w:cstheme="majorBidi"/>
                <w:sz w:val="16"/>
                <w:szCs w:val="16"/>
                <w:lang w:bidi="ar-IQ"/>
              </w:rPr>
            </w:pPr>
            <w:r w:rsidRPr="00AB09C1">
              <w:rPr>
                <w:rFonts w:asciiTheme="majorBidi" w:hAnsiTheme="majorBidi" w:cstheme="majorBidi"/>
                <w:sz w:val="16"/>
                <w:szCs w:val="16"/>
                <w:lang w:bidi="ar-IQ"/>
              </w:rPr>
              <w:t>α thalassemia)</w:t>
            </w:r>
          </w:p>
        </w:tc>
        <w:tc>
          <w:tcPr>
            <w:tcW w:w="2129" w:type="dxa"/>
          </w:tcPr>
          <w:p w14:paraId="44E1E5B3" w14:textId="52938284" w:rsidR="00AB09C1" w:rsidRPr="00AB09C1" w:rsidRDefault="00AB09C1" w:rsidP="003412A3">
            <w:pPr>
              <w:jc w:val="center"/>
              <w:rPr>
                <w:rFonts w:asciiTheme="majorBidi" w:hAnsiTheme="majorBidi" w:cstheme="majorBidi"/>
                <w:sz w:val="16"/>
                <w:szCs w:val="16"/>
                <w:lang w:bidi="ar-IQ"/>
              </w:rPr>
            </w:pPr>
            <w:r w:rsidRPr="00AB09C1">
              <w:rPr>
                <w:rFonts w:asciiTheme="majorBidi" w:hAnsiTheme="majorBidi" w:cstheme="majorBidi"/>
                <w:sz w:val="16"/>
                <w:szCs w:val="16"/>
                <w:lang w:bidi="ar-IQ"/>
              </w:rPr>
              <w:t>P-value</w:t>
            </w:r>
          </w:p>
        </w:tc>
      </w:tr>
      <w:tr w:rsidR="00AB09C1" w:rsidRPr="003D6B19" w14:paraId="14F1BEA2" w14:textId="2935D46D" w:rsidTr="00341927">
        <w:trPr>
          <w:trHeight w:val="476"/>
          <w:jc w:val="center"/>
        </w:trPr>
        <w:tc>
          <w:tcPr>
            <w:tcW w:w="1773" w:type="dxa"/>
          </w:tcPr>
          <w:p w14:paraId="22A8FE11" w14:textId="445C27EA" w:rsidR="00AB09C1" w:rsidRPr="00AB09C1" w:rsidRDefault="00AB09C1" w:rsidP="00AB09C1">
            <w:pPr>
              <w:jc w:val="center"/>
              <w:rPr>
                <w:rFonts w:asciiTheme="majorBidi" w:hAnsiTheme="majorBidi" w:cstheme="majorBidi"/>
                <w:sz w:val="16"/>
                <w:szCs w:val="16"/>
                <w:lang w:bidi="ar-IQ"/>
              </w:rPr>
            </w:pPr>
            <w:r w:rsidRPr="00AB09C1">
              <w:rPr>
                <w:rFonts w:asciiTheme="majorBidi" w:hAnsiTheme="majorBidi" w:cstheme="majorBidi"/>
                <w:sz w:val="16"/>
                <w:szCs w:val="16"/>
                <w:lang w:bidi="ar-IQ"/>
              </w:rPr>
              <w:t>Age (years)</w:t>
            </w:r>
          </w:p>
        </w:tc>
        <w:tc>
          <w:tcPr>
            <w:tcW w:w="2142" w:type="dxa"/>
          </w:tcPr>
          <w:p w14:paraId="48279709" w14:textId="5549F9D3" w:rsidR="00AB09C1" w:rsidRPr="00AB09C1" w:rsidRDefault="00AB09C1" w:rsidP="00AB09C1">
            <w:pPr>
              <w:jc w:val="center"/>
              <w:rPr>
                <w:rFonts w:asciiTheme="majorBidi" w:hAnsiTheme="majorBidi" w:cstheme="majorBidi"/>
                <w:sz w:val="16"/>
                <w:szCs w:val="16"/>
                <w:lang w:bidi="ar-IQ"/>
              </w:rPr>
            </w:pPr>
            <w:r w:rsidRPr="00AB09C1">
              <w:rPr>
                <w:rFonts w:asciiTheme="majorBidi" w:hAnsiTheme="majorBidi" w:cstheme="majorBidi"/>
                <w:sz w:val="16"/>
                <w:szCs w:val="16"/>
                <w:lang w:bidi="ar-IQ"/>
              </w:rPr>
              <w:t>13.14 ± 3.6</w:t>
            </w:r>
          </w:p>
        </w:tc>
        <w:tc>
          <w:tcPr>
            <w:tcW w:w="2129" w:type="dxa"/>
          </w:tcPr>
          <w:p w14:paraId="31DA0B56" w14:textId="7F0F262C" w:rsidR="00AB09C1" w:rsidRPr="00AB09C1" w:rsidRDefault="00AB09C1" w:rsidP="00AB09C1">
            <w:pPr>
              <w:ind w:right="280"/>
              <w:jc w:val="right"/>
              <w:rPr>
                <w:rFonts w:asciiTheme="majorBidi" w:hAnsiTheme="majorBidi" w:cstheme="majorBidi"/>
                <w:sz w:val="16"/>
                <w:szCs w:val="16"/>
                <w:lang w:bidi="ar-IQ"/>
              </w:rPr>
            </w:pPr>
            <w:r w:rsidRPr="00AB09C1">
              <w:rPr>
                <w:rFonts w:asciiTheme="majorBidi" w:hAnsiTheme="majorBidi" w:cstheme="majorBidi"/>
                <w:sz w:val="16"/>
                <w:szCs w:val="16"/>
                <w:lang w:bidi="ar-IQ"/>
              </w:rPr>
              <w:t>15.1 ± 1.3</w:t>
            </w:r>
          </w:p>
        </w:tc>
        <w:tc>
          <w:tcPr>
            <w:tcW w:w="2129" w:type="dxa"/>
          </w:tcPr>
          <w:p w14:paraId="11232F9E" w14:textId="7F27E2C1" w:rsidR="00AB09C1" w:rsidRPr="00AB09C1" w:rsidRDefault="00AB09C1" w:rsidP="00AB09C1">
            <w:pPr>
              <w:ind w:right="280"/>
              <w:jc w:val="right"/>
              <w:rPr>
                <w:rFonts w:asciiTheme="majorBidi" w:hAnsiTheme="majorBidi" w:cstheme="majorBidi"/>
                <w:sz w:val="16"/>
                <w:szCs w:val="16"/>
                <w:lang w:bidi="ar-IQ"/>
              </w:rPr>
            </w:pPr>
            <w:r w:rsidRPr="00AB09C1">
              <w:rPr>
                <w:rFonts w:asciiTheme="majorBidi" w:hAnsiTheme="majorBidi" w:cstheme="majorBidi"/>
                <w:sz w:val="16"/>
                <w:szCs w:val="16"/>
                <w:lang w:bidi="ar-IQ"/>
              </w:rPr>
              <w:t>NS</w:t>
            </w:r>
          </w:p>
        </w:tc>
      </w:tr>
      <w:tr w:rsidR="00AB09C1" w:rsidRPr="003D6B19" w14:paraId="62D7E963" w14:textId="0DE687F5" w:rsidTr="00341927">
        <w:trPr>
          <w:trHeight w:val="951"/>
          <w:jc w:val="center"/>
        </w:trPr>
        <w:tc>
          <w:tcPr>
            <w:tcW w:w="1773" w:type="dxa"/>
          </w:tcPr>
          <w:p w14:paraId="192AFEE8" w14:textId="311B077E" w:rsidR="00AB09C1" w:rsidRPr="00AB09C1" w:rsidRDefault="00AB09C1" w:rsidP="00AB09C1">
            <w:pPr>
              <w:jc w:val="center"/>
              <w:rPr>
                <w:rFonts w:asciiTheme="majorBidi" w:hAnsiTheme="majorBidi" w:cstheme="majorBidi"/>
                <w:sz w:val="16"/>
                <w:szCs w:val="16"/>
                <w:lang w:bidi="ar-IQ"/>
              </w:rPr>
            </w:pPr>
            <w:r w:rsidRPr="00AB09C1">
              <w:rPr>
                <w:rFonts w:asciiTheme="majorBidi" w:hAnsiTheme="majorBidi" w:cstheme="majorBidi"/>
                <w:sz w:val="16"/>
                <w:szCs w:val="16"/>
                <w:lang w:bidi="ar-IQ"/>
              </w:rPr>
              <w:t>Body Weight (Kg)</w:t>
            </w:r>
          </w:p>
        </w:tc>
        <w:tc>
          <w:tcPr>
            <w:tcW w:w="2142" w:type="dxa"/>
          </w:tcPr>
          <w:p w14:paraId="2181CAA6" w14:textId="1201F9A2" w:rsidR="00AB09C1" w:rsidRPr="00AB09C1" w:rsidRDefault="00AB09C1" w:rsidP="00AB09C1">
            <w:pPr>
              <w:jc w:val="center"/>
              <w:rPr>
                <w:rFonts w:asciiTheme="majorBidi" w:hAnsiTheme="majorBidi" w:cstheme="majorBidi"/>
                <w:sz w:val="16"/>
                <w:szCs w:val="16"/>
                <w:lang w:bidi="ar-IQ"/>
              </w:rPr>
            </w:pPr>
            <w:r w:rsidRPr="00AB09C1">
              <w:rPr>
                <w:rFonts w:asciiTheme="majorBidi" w:hAnsiTheme="majorBidi" w:cstheme="majorBidi"/>
                <w:sz w:val="16"/>
                <w:szCs w:val="16"/>
                <w:lang w:bidi="ar-IQ"/>
              </w:rPr>
              <w:t>31.7 ± 6.9</w:t>
            </w:r>
          </w:p>
        </w:tc>
        <w:tc>
          <w:tcPr>
            <w:tcW w:w="2129" w:type="dxa"/>
          </w:tcPr>
          <w:p w14:paraId="0B47F6E8" w14:textId="03386D9C" w:rsidR="00AB09C1" w:rsidRPr="00AB09C1" w:rsidRDefault="00AB09C1" w:rsidP="00AB09C1">
            <w:pPr>
              <w:ind w:right="280"/>
              <w:jc w:val="right"/>
              <w:rPr>
                <w:rFonts w:asciiTheme="majorBidi" w:hAnsiTheme="majorBidi" w:cstheme="majorBidi"/>
                <w:sz w:val="16"/>
                <w:szCs w:val="16"/>
                <w:lang w:bidi="ar-IQ"/>
              </w:rPr>
            </w:pPr>
            <w:r w:rsidRPr="00AB09C1">
              <w:rPr>
                <w:rFonts w:asciiTheme="majorBidi" w:hAnsiTheme="majorBidi" w:cstheme="majorBidi"/>
                <w:sz w:val="16"/>
                <w:szCs w:val="16"/>
                <w:lang w:bidi="ar-IQ"/>
              </w:rPr>
              <w:t>39.5 ± 7.3</w:t>
            </w:r>
          </w:p>
        </w:tc>
        <w:tc>
          <w:tcPr>
            <w:tcW w:w="2129" w:type="dxa"/>
          </w:tcPr>
          <w:p w14:paraId="5FFA8763" w14:textId="383304AB" w:rsidR="00AB09C1" w:rsidRPr="00AB09C1" w:rsidRDefault="00AB09C1" w:rsidP="00AB09C1">
            <w:pPr>
              <w:ind w:right="280"/>
              <w:jc w:val="right"/>
              <w:rPr>
                <w:rFonts w:asciiTheme="majorBidi" w:hAnsiTheme="majorBidi" w:cstheme="majorBidi"/>
                <w:sz w:val="16"/>
                <w:szCs w:val="16"/>
                <w:lang w:bidi="ar-IQ"/>
              </w:rPr>
            </w:pPr>
            <w:r w:rsidRPr="00AB09C1">
              <w:rPr>
                <w:rFonts w:asciiTheme="majorBidi" w:hAnsiTheme="majorBidi" w:cstheme="majorBidi"/>
                <w:sz w:val="16"/>
                <w:szCs w:val="16"/>
                <w:lang w:bidi="ar-IQ"/>
              </w:rPr>
              <w:t>0.01</w:t>
            </w:r>
          </w:p>
        </w:tc>
      </w:tr>
      <w:tr w:rsidR="00AB09C1" w:rsidRPr="003D6B19" w14:paraId="3B674AE8" w14:textId="2928C273" w:rsidTr="00341927">
        <w:trPr>
          <w:trHeight w:val="68"/>
          <w:jc w:val="center"/>
        </w:trPr>
        <w:tc>
          <w:tcPr>
            <w:tcW w:w="1773" w:type="dxa"/>
          </w:tcPr>
          <w:p w14:paraId="10216345" w14:textId="330F5FB1" w:rsidR="00AB09C1" w:rsidRPr="00AB09C1" w:rsidRDefault="00AB09C1" w:rsidP="00AB09C1">
            <w:pPr>
              <w:jc w:val="center"/>
              <w:rPr>
                <w:rFonts w:asciiTheme="majorBidi" w:hAnsiTheme="majorBidi" w:cstheme="majorBidi"/>
                <w:sz w:val="16"/>
                <w:szCs w:val="16"/>
                <w:lang w:bidi="ar-IQ"/>
              </w:rPr>
            </w:pPr>
            <w:r w:rsidRPr="00AB09C1">
              <w:rPr>
                <w:rFonts w:asciiTheme="majorBidi" w:hAnsiTheme="majorBidi" w:cstheme="majorBidi"/>
                <w:sz w:val="16"/>
                <w:szCs w:val="16"/>
                <w:lang w:bidi="ar-IQ"/>
              </w:rPr>
              <w:t>BMI (kg/M2)</w:t>
            </w:r>
          </w:p>
        </w:tc>
        <w:tc>
          <w:tcPr>
            <w:tcW w:w="2142" w:type="dxa"/>
          </w:tcPr>
          <w:p w14:paraId="6BE9FB8C" w14:textId="70D2777E" w:rsidR="00AB09C1" w:rsidRPr="00AB09C1" w:rsidRDefault="00AB09C1" w:rsidP="00AB09C1">
            <w:pPr>
              <w:jc w:val="center"/>
              <w:rPr>
                <w:rFonts w:asciiTheme="majorBidi" w:hAnsiTheme="majorBidi" w:cstheme="majorBidi"/>
                <w:sz w:val="16"/>
                <w:szCs w:val="16"/>
                <w:lang w:bidi="ar-IQ"/>
              </w:rPr>
            </w:pPr>
            <w:r w:rsidRPr="00AB09C1">
              <w:rPr>
                <w:rFonts w:asciiTheme="majorBidi" w:hAnsiTheme="majorBidi" w:cstheme="majorBidi"/>
                <w:sz w:val="16"/>
                <w:szCs w:val="16"/>
                <w:lang w:bidi="ar-IQ"/>
              </w:rPr>
              <w:t>15.4 ± 3.8</w:t>
            </w:r>
          </w:p>
        </w:tc>
        <w:tc>
          <w:tcPr>
            <w:tcW w:w="2129" w:type="dxa"/>
          </w:tcPr>
          <w:p w14:paraId="0A640D85" w14:textId="26D1A475" w:rsidR="00AB09C1" w:rsidRPr="00AB09C1" w:rsidRDefault="00AB09C1" w:rsidP="00AB09C1">
            <w:pPr>
              <w:ind w:right="280"/>
              <w:jc w:val="right"/>
              <w:rPr>
                <w:rFonts w:asciiTheme="majorBidi" w:hAnsiTheme="majorBidi" w:cstheme="majorBidi"/>
                <w:sz w:val="16"/>
                <w:szCs w:val="16"/>
                <w:lang w:bidi="ar-IQ"/>
              </w:rPr>
            </w:pPr>
            <w:r w:rsidRPr="00AB09C1">
              <w:rPr>
                <w:rFonts w:asciiTheme="majorBidi" w:hAnsiTheme="majorBidi" w:cstheme="majorBidi"/>
                <w:sz w:val="16"/>
                <w:szCs w:val="16"/>
                <w:lang w:bidi="ar-IQ"/>
              </w:rPr>
              <w:t>17.7 ± 2.3</w:t>
            </w:r>
          </w:p>
        </w:tc>
        <w:tc>
          <w:tcPr>
            <w:tcW w:w="2129" w:type="dxa"/>
          </w:tcPr>
          <w:p w14:paraId="1BB87552" w14:textId="1846E605" w:rsidR="00AB09C1" w:rsidRPr="00AB09C1" w:rsidRDefault="00AB09C1" w:rsidP="00AB09C1">
            <w:pPr>
              <w:ind w:right="280"/>
              <w:jc w:val="right"/>
              <w:rPr>
                <w:rFonts w:asciiTheme="majorBidi" w:hAnsiTheme="majorBidi" w:cstheme="majorBidi"/>
                <w:sz w:val="16"/>
                <w:szCs w:val="16"/>
                <w:lang w:bidi="ar-IQ"/>
              </w:rPr>
            </w:pPr>
            <w:r w:rsidRPr="00AB09C1">
              <w:rPr>
                <w:rFonts w:asciiTheme="majorBidi" w:hAnsiTheme="majorBidi" w:cstheme="majorBidi"/>
                <w:sz w:val="16"/>
                <w:szCs w:val="16"/>
                <w:lang w:bidi="ar-IQ"/>
              </w:rPr>
              <w:t>0.01</w:t>
            </w:r>
          </w:p>
        </w:tc>
      </w:tr>
    </w:tbl>
    <w:p w14:paraId="665F03A8" w14:textId="77777777" w:rsidR="00AB09C1" w:rsidRDefault="00AB09C1" w:rsidP="00AB09C1">
      <w:pPr>
        <w:jc w:val="both"/>
        <w:rPr>
          <w:rFonts w:asciiTheme="majorBidi" w:hAnsiTheme="majorBidi" w:cstheme="majorBidi"/>
          <w:lang w:bidi="ar-IQ"/>
        </w:rPr>
      </w:pPr>
    </w:p>
    <w:p w14:paraId="30932DF1" w14:textId="77777777" w:rsidR="008B48DE" w:rsidRDefault="008B48DE" w:rsidP="00AB09C1">
      <w:pPr>
        <w:jc w:val="both"/>
        <w:rPr>
          <w:rFonts w:asciiTheme="majorBidi" w:hAnsiTheme="majorBidi" w:cstheme="majorBidi"/>
          <w:lang w:bidi="ar-IQ"/>
        </w:rPr>
      </w:pPr>
    </w:p>
    <w:p w14:paraId="1956345F" w14:textId="77777777" w:rsidR="008B48DE" w:rsidRPr="00AB09C1" w:rsidRDefault="008B48DE" w:rsidP="00AB09C1">
      <w:pPr>
        <w:jc w:val="both"/>
        <w:rPr>
          <w:rFonts w:asciiTheme="majorBidi" w:hAnsiTheme="majorBidi" w:cstheme="majorBidi"/>
          <w:lang w:bidi="ar-IQ"/>
        </w:rPr>
      </w:pPr>
    </w:p>
    <w:p w14:paraId="6AC67DC9" w14:textId="751F4D26" w:rsidR="008C5566" w:rsidRDefault="008C5566" w:rsidP="008C5566">
      <w:pPr>
        <w:jc w:val="both"/>
        <w:rPr>
          <w:rFonts w:asciiTheme="majorBidi" w:hAnsiTheme="majorBidi" w:cstheme="majorBidi"/>
          <w:lang w:bidi="ar-IQ"/>
        </w:rPr>
      </w:pPr>
      <w:r w:rsidRPr="008C5566">
        <w:rPr>
          <w:rFonts w:asciiTheme="majorBidi" w:hAnsiTheme="majorBidi" w:cstheme="majorBidi"/>
          <w:b/>
          <w:bCs/>
          <w:lang w:bidi="ar-IQ"/>
        </w:rPr>
        <w:t>Table 2</w:t>
      </w:r>
      <w:r w:rsidRPr="008C5566">
        <w:rPr>
          <w:rFonts w:asciiTheme="majorBidi" w:hAnsiTheme="majorBidi" w:cstheme="majorBidi"/>
          <w:lang w:bidi="ar-IQ"/>
        </w:rPr>
        <w:t xml:space="preserve"> </w:t>
      </w:r>
      <w:r w:rsidR="00462154" w:rsidRPr="008C5566">
        <w:rPr>
          <w:rFonts w:asciiTheme="majorBidi" w:hAnsiTheme="majorBidi" w:cstheme="majorBidi"/>
          <w:lang w:bidi="ar-IQ"/>
        </w:rPr>
        <w:t>shows</w:t>
      </w:r>
      <w:r w:rsidRPr="008C5566">
        <w:rPr>
          <w:rFonts w:asciiTheme="majorBidi" w:hAnsiTheme="majorBidi" w:cstheme="majorBidi"/>
          <w:lang w:bidi="ar-IQ"/>
        </w:rPr>
        <w:t xml:space="preserve"> the comparison of Hb, Packed Cell Volume, (pcv), and Wight blood cells between men </w:t>
      </w:r>
      <w:r w:rsidRPr="008C5566">
        <w:rPr>
          <w:rFonts w:asciiTheme="majorBidi" w:hAnsiTheme="majorBidi" w:cstheme="majorBidi"/>
          <w:b/>
          <w:bCs/>
          <w:lang w:bidi="ar-IQ"/>
        </w:rPr>
        <w:t>β</w:t>
      </w:r>
      <w:r w:rsidRPr="008C5566">
        <w:rPr>
          <w:rFonts w:asciiTheme="majorBidi" w:hAnsiTheme="majorBidi" w:cstheme="majorBidi"/>
          <w:lang w:bidi="ar-IQ"/>
        </w:rPr>
        <w:t xml:space="preserve"> thalassemia cases and men </w:t>
      </w:r>
      <w:r w:rsidRPr="008C5566">
        <w:rPr>
          <w:rFonts w:asciiTheme="majorBidi" w:hAnsiTheme="majorBidi" w:cstheme="majorBidi"/>
          <w:b/>
          <w:bCs/>
          <w:lang w:bidi="ar-IQ"/>
        </w:rPr>
        <w:t>α</w:t>
      </w:r>
      <w:r w:rsidRPr="008C5566">
        <w:rPr>
          <w:rFonts w:asciiTheme="majorBidi" w:hAnsiTheme="majorBidi" w:cstheme="majorBidi"/>
          <w:lang w:bidi="ar-IQ"/>
        </w:rPr>
        <w:t xml:space="preserve"> thalassemia.</w:t>
      </w:r>
      <w:r w:rsidR="008B48DE">
        <w:rPr>
          <w:rFonts w:asciiTheme="majorBidi" w:hAnsiTheme="majorBidi" w:cstheme="majorBidi"/>
          <w:lang w:bidi="ar-IQ"/>
        </w:rPr>
        <w:t xml:space="preserve"> </w:t>
      </w:r>
    </w:p>
    <w:p w14:paraId="6054B83E" w14:textId="77777777" w:rsidR="000B62F3" w:rsidRPr="000B62F3" w:rsidRDefault="000B62F3" w:rsidP="008C5566">
      <w:pPr>
        <w:jc w:val="both"/>
        <w:rPr>
          <w:rFonts w:asciiTheme="majorBidi" w:hAnsiTheme="majorBidi" w:cstheme="majorBidi"/>
          <w:sz w:val="12"/>
          <w:szCs w:val="12"/>
          <w:lang w:bidi="ar-IQ"/>
        </w:rPr>
      </w:pPr>
    </w:p>
    <w:p w14:paraId="5BD480A7" w14:textId="4902F6CE" w:rsidR="008C5566" w:rsidRPr="008C5566" w:rsidRDefault="008C5566" w:rsidP="000B62F3">
      <w:pPr>
        <w:jc w:val="both"/>
        <w:rPr>
          <w:rFonts w:asciiTheme="majorBidi" w:hAnsiTheme="majorBidi" w:cstheme="majorBidi"/>
          <w:lang w:bidi="ar-IQ"/>
        </w:rPr>
      </w:pPr>
      <w:r w:rsidRPr="008C5566">
        <w:rPr>
          <w:rFonts w:asciiTheme="majorBidi" w:hAnsiTheme="majorBidi" w:cstheme="majorBidi"/>
          <w:lang w:bidi="ar-IQ"/>
        </w:rPr>
        <w:t>The present study found a marked reduction in hemoglobin concentration and packed cell volume, (PCV) of male beta thalassemia patients (</w:t>
      </w:r>
      <w:r w:rsidRPr="008C5566">
        <w:rPr>
          <w:rFonts w:asciiTheme="majorBidi" w:hAnsiTheme="majorBidi" w:cstheme="majorBidi"/>
          <w:b/>
          <w:bCs/>
          <w:lang w:bidi="ar-IQ"/>
        </w:rPr>
        <w:t>7.5 ± 0.2</w:t>
      </w:r>
      <w:r w:rsidRPr="008C5566">
        <w:rPr>
          <w:rFonts w:asciiTheme="majorBidi" w:hAnsiTheme="majorBidi" w:cstheme="majorBidi"/>
          <w:lang w:bidi="ar-IQ"/>
        </w:rPr>
        <w:t xml:space="preserve"> gm/dl) as compare with α- male thalassemia patients, (9.7 ± 2.1 gm/dl). The present findi</w:t>
      </w:r>
      <w:r w:rsidR="000B62F3">
        <w:rPr>
          <w:rFonts w:asciiTheme="majorBidi" w:hAnsiTheme="majorBidi" w:cstheme="majorBidi"/>
          <w:lang w:bidi="ar-IQ"/>
        </w:rPr>
        <w:t>ng agrees with previous results</w:t>
      </w:r>
      <w:r w:rsidRPr="008C5566">
        <w:rPr>
          <w:rFonts w:asciiTheme="majorBidi" w:hAnsiTheme="majorBidi" w:cstheme="majorBidi"/>
          <w:lang w:bidi="ar-IQ"/>
        </w:rPr>
        <w:t xml:space="preserve"> </w:t>
      </w:r>
      <w:r w:rsidR="000B62F3">
        <w:rPr>
          <w:rFonts w:asciiTheme="majorBidi" w:hAnsiTheme="majorBidi" w:cstheme="majorBidi"/>
          <w:lang w:bidi="ar-IQ"/>
        </w:rPr>
        <w:t>[</w:t>
      </w:r>
      <w:r w:rsidRPr="008C5566">
        <w:rPr>
          <w:rFonts w:asciiTheme="majorBidi" w:hAnsiTheme="majorBidi" w:cstheme="majorBidi"/>
          <w:lang w:bidi="ar-IQ"/>
        </w:rPr>
        <w:t>2, 5</w:t>
      </w:r>
      <w:r w:rsidR="000B62F3">
        <w:rPr>
          <w:rFonts w:asciiTheme="majorBidi" w:hAnsiTheme="majorBidi" w:cstheme="majorBidi"/>
          <w:lang w:bidi="ar-IQ"/>
        </w:rPr>
        <w:t>]</w:t>
      </w:r>
      <w:r w:rsidRPr="008C5566">
        <w:rPr>
          <w:rFonts w:asciiTheme="majorBidi" w:hAnsiTheme="majorBidi" w:cstheme="majorBidi"/>
          <w:lang w:bidi="ar-IQ"/>
        </w:rPr>
        <w:t xml:space="preserve">. </w:t>
      </w:r>
    </w:p>
    <w:p w14:paraId="02587198" w14:textId="77777777" w:rsidR="008C5566" w:rsidRDefault="008C5566" w:rsidP="00960074">
      <w:pPr>
        <w:jc w:val="both"/>
        <w:rPr>
          <w:sz w:val="12"/>
          <w:szCs w:val="12"/>
        </w:rPr>
      </w:pPr>
    </w:p>
    <w:p w14:paraId="11C323CB" w14:textId="77777777" w:rsidR="000B62F3" w:rsidRPr="000B62F3" w:rsidRDefault="000B62F3" w:rsidP="00960074">
      <w:pPr>
        <w:jc w:val="both"/>
        <w:rPr>
          <w:sz w:val="8"/>
          <w:szCs w:val="8"/>
        </w:rPr>
      </w:pPr>
    </w:p>
    <w:p w14:paraId="0063002F" w14:textId="6FA20A98" w:rsidR="008C5566" w:rsidRDefault="008C5566" w:rsidP="00A67359">
      <w:pPr>
        <w:jc w:val="center"/>
      </w:pPr>
      <w:r w:rsidRPr="008C5566">
        <w:rPr>
          <w:rFonts w:asciiTheme="majorBidi" w:hAnsiTheme="majorBidi" w:cstheme="majorBidi"/>
          <w:b/>
          <w:bCs/>
          <w:lang w:bidi="ar-IQ"/>
        </w:rPr>
        <w:t xml:space="preserve">Table (2) </w:t>
      </w:r>
      <w:r w:rsidRPr="008C5566">
        <w:rPr>
          <w:rFonts w:asciiTheme="majorBidi" w:hAnsiTheme="majorBidi" w:cstheme="majorBidi"/>
          <w:lang w:bidi="ar-IQ"/>
        </w:rPr>
        <w:t xml:space="preserve">the mean and SD of Hb, PCV and Wight blood cells of men </w:t>
      </w:r>
      <w:r w:rsidRPr="008C5566">
        <w:rPr>
          <w:rFonts w:asciiTheme="majorBidi" w:hAnsiTheme="majorBidi" w:cstheme="majorBidi"/>
          <w:b/>
          <w:bCs/>
          <w:lang w:bidi="ar-IQ"/>
        </w:rPr>
        <w:t>βThalassemia</w:t>
      </w:r>
      <w:r w:rsidRPr="008C5566">
        <w:rPr>
          <w:rFonts w:asciiTheme="majorBidi" w:hAnsiTheme="majorBidi" w:cstheme="majorBidi"/>
          <w:lang w:bidi="ar-IQ"/>
        </w:rPr>
        <w:t xml:space="preserve"> cases and men </w:t>
      </w:r>
      <w:r w:rsidRPr="008C5566">
        <w:rPr>
          <w:rFonts w:asciiTheme="majorBidi" w:hAnsiTheme="majorBidi" w:cstheme="majorBidi"/>
          <w:b/>
          <w:bCs/>
          <w:lang w:bidi="ar-IQ"/>
        </w:rPr>
        <w:t>α thalassemi</w:t>
      </w:r>
      <w:r w:rsidRPr="008C5566">
        <w:rPr>
          <w:rFonts w:asciiTheme="majorBidi" w:hAnsiTheme="majorBidi" w:cstheme="majorBidi"/>
          <w:lang w:bidi="ar-IQ"/>
        </w:rPr>
        <w:t>a.</w:t>
      </w:r>
      <w:r>
        <w:t xml:space="preserve"> </w:t>
      </w:r>
    </w:p>
    <w:p w14:paraId="367D5065" w14:textId="77777777" w:rsidR="00A67359" w:rsidRDefault="00A67359" w:rsidP="00A6735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2054"/>
        <w:gridCol w:w="2041"/>
        <w:gridCol w:w="2041"/>
      </w:tblGrid>
      <w:tr w:rsidR="008C5566" w:rsidRPr="003D6B19" w14:paraId="138F34CA" w14:textId="77777777" w:rsidTr="00341927">
        <w:trPr>
          <w:trHeight w:val="885"/>
          <w:jc w:val="center"/>
        </w:trPr>
        <w:tc>
          <w:tcPr>
            <w:tcW w:w="1700" w:type="dxa"/>
          </w:tcPr>
          <w:p w14:paraId="060A3B5E" w14:textId="27E5A191" w:rsidR="008C5566" w:rsidRPr="00AB09C1" w:rsidRDefault="008C5566" w:rsidP="008C5566">
            <w:pPr>
              <w:jc w:val="center"/>
              <w:rPr>
                <w:rFonts w:asciiTheme="majorBidi" w:hAnsiTheme="majorBidi" w:cstheme="majorBidi"/>
                <w:sz w:val="16"/>
                <w:szCs w:val="16"/>
                <w:lang w:bidi="ar-IQ"/>
              </w:rPr>
            </w:pPr>
            <w:r w:rsidRPr="008C5566">
              <w:rPr>
                <w:rFonts w:asciiTheme="majorBidi" w:hAnsiTheme="majorBidi" w:cstheme="majorBidi"/>
                <w:sz w:val="16"/>
                <w:szCs w:val="16"/>
                <w:lang w:bidi="ar-IQ"/>
              </w:rPr>
              <w:t>Parameters</w:t>
            </w:r>
          </w:p>
        </w:tc>
        <w:tc>
          <w:tcPr>
            <w:tcW w:w="2054" w:type="dxa"/>
          </w:tcPr>
          <w:p w14:paraId="5E469CA7" w14:textId="77777777" w:rsidR="008C5566" w:rsidRPr="00AB09C1" w:rsidRDefault="008C5566" w:rsidP="008C5566">
            <w:pPr>
              <w:jc w:val="center"/>
              <w:rPr>
                <w:rFonts w:asciiTheme="majorBidi" w:hAnsiTheme="majorBidi" w:cstheme="majorBidi"/>
                <w:sz w:val="16"/>
                <w:szCs w:val="16"/>
                <w:lang w:bidi="ar-IQ"/>
              </w:rPr>
            </w:pPr>
            <w:r w:rsidRPr="00AB09C1">
              <w:rPr>
                <w:rFonts w:asciiTheme="majorBidi" w:hAnsiTheme="majorBidi" w:cstheme="majorBidi"/>
                <w:sz w:val="16"/>
                <w:szCs w:val="16"/>
                <w:lang w:bidi="ar-IQ"/>
              </w:rPr>
              <w:t>β Thalassemia patients</w:t>
            </w:r>
          </w:p>
        </w:tc>
        <w:tc>
          <w:tcPr>
            <w:tcW w:w="2041" w:type="dxa"/>
          </w:tcPr>
          <w:p w14:paraId="55F4A6A8" w14:textId="77777777" w:rsidR="008C5566" w:rsidRPr="00AB09C1" w:rsidRDefault="008C5566" w:rsidP="008C5566">
            <w:pPr>
              <w:jc w:val="center"/>
              <w:rPr>
                <w:rFonts w:asciiTheme="majorBidi" w:hAnsiTheme="majorBidi" w:cstheme="majorBidi"/>
                <w:sz w:val="16"/>
                <w:szCs w:val="16"/>
                <w:lang w:bidi="ar-IQ"/>
              </w:rPr>
            </w:pPr>
            <w:r w:rsidRPr="00AB09C1">
              <w:rPr>
                <w:rFonts w:asciiTheme="majorBidi" w:hAnsiTheme="majorBidi" w:cstheme="majorBidi"/>
                <w:sz w:val="16"/>
                <w:szCs w:val="16"/>
                <w:lang w:bidi="ar-IQ"/>
              </w:rPr>
              <w:t>α thalassemia)</w:t>
            </w:r>
          </w:p>
        </w:tc>
        <w:tc>
          <w:tcPr>
            <w:tcW w:w="2041" w:type="dxa"/>
          </w:tcPr>
          <w:p w14:paraId="43F261CA" w14:textId="05AA2831" w:rsidR="008C5566" w:rsidRPr="00AB09C1" w:rsidRDefault="008C5566" w:rsidP="008C5566">
            <w:pPr>
              <w:jc w:val="center"/>
              <w:rPr>
                <w:rFonts w:asciiTheme="majorBidi" w:hAnsiTheme="majorBidi" w:cstheme="majorBidi"/>
                <w:sz w:val="16"/>
                <w:szCs w:val="16"/>
                <w:lang w:bidi="ar-IQ"/>
              </w:rPr>
            </w:pPr>
            <w:r w:rsidRPr="008C5566">
              <w:rPr>
                <w:rFonts w:asciiTheme="majorBidi" w:hAnsiTheme="majorBidi" w:cstheme="majorBidi"/>
                <w:sz w:val="16"/>
                <w:szCs w:val="16"/>
                <w:lang w:bidi="ar-IQ"/>
              </w:rPr>
              <w:t>P≤ value</w:t>
            </w:r>
          </w:p>
        </w:tc>
      </w:tr>
      <w:tr w:rsidR="008C5566" w:rsidRPr="003D6B19" w14:paraId="45BA903C" w14:textId="77777777" w:rsidTr="00341927">
        <w:trPr>
          <w:trHeight w:val="915"/>
          <w:jc w:val="center"/>
        </w:trPr>
        <w:tc>
          <w:tcPr>
            <w:tcW w:w="1700" w:type="dxa"/>
          </w:tcPr>
          <w:p w14:paraId="3CA976AE" w14:textId="2F740228" w:rsidR="008C5566" w:rsidRPr="00AB09C1" w:rsidRDefault="008C5566" w:rsidP="008C5566">
            <w:pPr>
              <w:jc w:val="center"/>
              <w:rPr>
                <w:rFonts w:asciiTheme="majorBidi" w:hAnsiTheme="majorBidi" w:cstheme="majorBidi"/>
                <w:sz w:val="16"/>
                <w:szCs w:val="16"/>
                <w:lang w:bidi="ar-IQ"/>
              </w:rPr>
            </w:pPr>
            <w:r w:rsidRPr="008C5566">
              <w:rPr>
                <w:rFonts w:asciiTheme="majorBidi" w:hAnsiTheme="majorBidi" w:cstheme="majorBidi"/>
                <w:sz w:val="16"/>
                <w:szCs w:val="16"/>
                <w:lang w:bidi="ar-IQ"/>
              </w:rPr>
              <w:t>Hemoglobin (g/dl)</w:t>
            </w:r>
          </w:p>
        </w:tc>
        <w:tc>
          <w:tcPr>
            <w:tcW w:w="2054" w:type="dxa"/>
          </w:tcPr>
          <w:p w14:paraId="3C08EE9C" w14:textId="35AF83B4" w:rsidR="008C5566" w:rsidRPr="00AB09C1" w:rsidRDefault="008C5566" w:rsidP="008C5566">
            <w:pPr>
              <w:jc w:val="center"/>
              <w:rPr>
                <w:rFonts w:asciiTheme="majorBidi" w:hAnsiTheme="majorBidi" w:cstheme="majorBidi"/>
                <w:sz w:val="16"/>
                <w:szCs w:val="16"/>
                <w:lang w:bidi="ar-IQ"/>
              </w:rPr>
            </w:pPr>
            <w:r w:rsidRPr="008C5566">
              <w:rPr>
                <w:rFonts w:asciiTheme="majorBidi" w:hAnsiTheme="majorBidi" w:cstheme="majorBidi"/>
                <w:sz w:val="16"/>
                <w:szCs w:val="16"/>
                <w:lang w:bidi="ar-IQ"/>
              </w:rPr>
              <w:t>7.0 ± 0.2</w:t>
            </w:r>
          </w:p>
        </w:tc>
        <w:tc>
          <w:tcPr>
            <w:tcW w:w="2041" w:type="dxa"/>
          </w:tcPr>
          <w:p w14:paraId="3DB6B7B4" w14:textId="44E4BCC1" w:rsidR="008C5566" w:rsidRPr="00AB09C1" w:rsidRDefault="008C5566" w:rsidP="008C5566">
            <w:pPr>
              <w:jc w:val="center"/>
              <w:rPr>
                <w:rFonts w:asciiTheme="majorBidi" w:hAnsiTheme="majorBidi" w:cstheme="majorBidi"/>
                <w:sz w:val="16"/>
                <w:szCs w:val="16"/>
                <w:lang w:bidi="ar-IQ"/>
              </w:rPr>
            </w:pPr>
            <w:r w:rsidRPr="008C5566">
              <w:rPr>
                <w:rFonts w:asciiTheme="majorBidi" w:hAnsiTheme="majorBidi" w:cstheme="majorBidi"/>
                <w:sz w:val="16"/>
                <w:szCs w:val="16"/>
                <w:lang w:bidi="ar-IQ"/>
              </w:rPr>
              <w:t>9.7 ± 2.1</w:t>
            </w:r>
          </w:p>
        </w:tc>
        <w:tc>
          <w:tcPr>
            <w:tcW w:w="2041" w:type="dxa"/>
          </w:tcPr>
          <w:p w14:paraId="0C0AF3F3" w14:textId="6BD482B7" w:rsidR="008C5566" w:rsidRPr="00AB09C1" w:rsidRDefault="008C5566" w:rsidP="008C5566">
            <w:pPr>
              <w:jc w:val="center"/>
              <w:rPr>
                <w:rFonts w:asciiTheme="majorBidi" w:hAnsiTheme="majorBidi" w:cstheme="majorBidi"/>
                <w:sz w:val="16"/>
                <w:szCs w:val="16"/>
                <w:lang w:bidi="ar-IQ"/>
              </w:rPr>
            </w:pPr>
            <w:r w:rsidRPr="008C5566">
              <w:rPr>
                <w:rFonts w:asciiTheme="majorBidi" w:hAnsiTheme="majorBidi" w:cstheme="majorBidi"/>
                <w:sz w:val="16"/>
                <w:szCs w:val="16"/>
                <w:lang w:bidi="ar-IQ"/>
              </w:rPr>
              <w:t>0.01</w:t>
            </w:r>
          </w:p>
        </w:tc>
      </w:tr>
      <w:tr w:rsidR="008C5566" w:rsidRPr="003D6B19" w14:paraId="2CC5EDC5" w14:textId="77777777" w:rsidTr="00341927">
        <w:trPr>
          <w:trHeight w:val="443"/>
          <w:jc w:val="center"/>
        </w:trPr>
        <w:tc>
          <w:tcPr>
            <w:tcW w:w="1700" w:type="dxa"/>
          </w:tcPr>
          <w:p w14:paraId="04A99920" w14:textId="10838124" w:rsidR="008C5566" w:rsidRPr="00AB09C1" w:rsidRDefault="008C5566" w:rsidP="008C5566">
            <w:pPr>
              <w:jc w:val="center"/>
              <w:rPr>
                <w:rFonts w:asciiTheme="majorBidi" w:hAnsiTheme="majorBidi" w:cstheme="majorBidi"/>
                <w:sz w:val="16"/>
                <w:szCs w:val="16"/>
                <w:lang w:bidi="ar-IQ"/>
              </w:rPr>
            </w:pPr>
            <w:r w:rsidRPr="008C5566">
              <w:rPr>
                <w:rFonts w:asciiTheme="majorBidi" w:hAnsiTheme="majorBidi" w:cstheme="majorBidi"/>
                <w:sz w:val="16"/>
                <w:szCs w:val="16"/>
                <w:lang w:bidi="ar-IQ"/>
              </w:rPr>
              <w:t>PCV (L/L)</w:t>
            </w:r>
          </w:p>
        </w:tc>
        <w:tc>
          <w:tcPr>
            <w:tcW w:w="2054" w:type="dxa"/>
          </w:tcPr>
          <w:p w14:paraId="19AFE213" w14:textId="5A5E3FDA" w:rsidR="008C5566" w:rsidRPr="00AB09C1" w:rsidRDefault="008C5566" w:rsidP="008C5566">
            <w:pPr>
              <w:jc w:val="center"/>
              <w:rPr>
                <w:rFonts w:asciiTheme="majorBidi" w:hAnsiTheme="majorBidi" w:cstheme="majorBidi"/>
                <w:sz w:val="16"/>
                <w:szCs w:val="16"/>
                <w:lang w:bidi="ar-IQ"/>
              </w:rPr>
            </w:pPr>
            <w:r w:rsidRPr="008C5566">
              <w:rPr>
                <w:rFonts w:asciiTheme="majorBidi" w:hAnsiTheme="majorBidi" w:cstheme="majorBidi"/>
                <w:sz w:val="16"/>
                <w:szCs w:val="16"/>
                <w:lang w:bidi="ar-IQ"/>
              </w:rPr>
              <w:t>28.4 ± 5.1</w:t>
            </w:r>
          </w:p>
        </w:tc>
        <w:tc>
          <w:tcPr>
            <w:tcW w:w="2041" w:type="dxa"/>
          </w:tcPr>
          <w:p w14:paraId="0B80A94E" w14:textId="661999A8" w:rsidR="008C5566" w:rsidRPr="00AB09C1" w:rsidRDefault="008C5566" w:rsidP="008C5566">
            <w:pPr>
              <w:jc w:val="center"/>
              <w:rPr>
                <w:rFonts w:asciiTheme="majorBidi" w:hAnsiTheme="majorBidi" w:cstheme="majorBidi"/>
                <w:sz w:val="16"/>
                <w:szCs w:val="16"/>
                <w:lang w:bidi="ar-IQ"/>
              </w:rPr>
            </w:pPr>
            <w:r w:rsidRPr="008C5566">
              <w:rPr>
                <w:rFonts w:asciiTheme="majorBidi" w:hAnsiTheme="majorBidi" w:cstheme="majorBidi"/>
                <w:sz w:val="16"/>
                <w:szCs w:val="16"/>
                <w:lang w:bidi="ar-IQ"/>
              </w:rPr>
              <w:t>36.3 ± 5.8</w:t>
            </w:r>
          </w:p>
        </w:tc>
        <w:tc>
          <w:tcPr>
            <w:tcW w:w="2041" w:type="dxa"/>
          </w:tcPr>
          <w:p w14:paraId="1D6610C1" w14:textId="52A7990C" w:rsidR="008C5566" w:rsidRPr="00AB09C1" w:rsidRDefault="008C5566" w:rsidP="008C5566">
            <w:pPr>
              <w:jc w:val="center"/>
              <w:rPr>
                <w:rFonts w:asciiTheme="majorBidi" w:hAnsiTheme="majorBidi" w:cstheme="majorBidi"/>
                <w:sz w:val="16"/>
                <w:szCs w:val="16"/>
                <w:lang w:bidi="ar-IQ"/>
              </w:rPr>
            </w:pPr>
            <w:r w:rsidRPr="008C5566">
              <w:rPr>
                <w:rFonts w:asciiTheme="majorBidi" w:hAnsiTheme="majorBidi" w:cstheme="majorBidi"/>
                <w:sz w:val="16"/>
                <w:szCs w:val="16"/>
                <w:lang w:bidi="ar-IQ"/>
              </w:rPr>
              <w:t>0.01</w:t>
            </w:r>
          </w:p>
        </w:tc>
      </w:tr>
      <w:tr w:rsidR="008C5566" w:rsidRPr="003D6B19" w14:paraId="27B91A5E" w14:textId="77777777" w:rsidTr="00341927">
        <w:trPr>
          <w:trHeight w:val="944"/>
          <w:jc w:val="center"/>
        </w:trPr>
        <w:tc>
          <w:tcPr>
            <w:tcW w:w="1700" w:type="dxa"/>
          </w:tcPr>
          <w:p w14:paraId="0F97B8CB" w14:textId="1FFDF5EE" w:rsidR="008C5566" w:rsidRPr="00AB09C1" w:rsidRDefault="008C5566" w:rsidP="008C5566">
            <w:pPr>
              <w:jc w:val="center"/>
              <w:rPr>
                <w:rFonts w:asciiTheme="majorBidi" w:hAnsiTheme="majorBidi" w:cstheme="majorBidi"/>
                <w:sz w:val="16"/>
                <w:szCs w:val="16"/>
                <w:lang w:bidi="ar-IQ"/>
              </w:rPr>
            </w:pPr>
            <w:r w:rsidRPr="008C5566">
              <w:rPr>
                <w:rFonts w:asciiTheme="majorBidi" w:hAnsiTheme="majorBidi" w:cstheme="majorBidi"/>
                <w:sz w:val="16"/>
                <w:szCs w:val="16"/>
                <w:lang w:bidi="ar-IQ"/>
              </w:rPr>
              <w:t>WBC 103 /ml</w:t>
            </w:r>
          </w:p>
        </w:tc>
        <w:tc>
          <w:tcPr>
            <w:tcW w:w="2054" w:type="dxa"/>
          </w:tcPr>
          <w:p w14:paraId="4989A865" w14:textId="77777777" w:rsidR="008C5566" w:rsidRPr="008C5566" w:rsidRDefault="008C5566" w:rsidP="008C5566">
            <w:pPr>
              <w:jc w:val="center"/>
              <w:rPr>
                <w:rFonts w:asciiTheme="majorBidi" w:hAnsiTheme="majorBidi" w:cstheme="majorBidi"/>
                <w:sz w:val="16"/>
                <w:szCs w:val="16"/>
                <w:lang w:bidi="ar-IQ"/>
              </w:rPr>
            </w:pPr>
            <w:r w:rsidRPr="008C5566">
              <w:rPr>
                <w:rFonts w:asciiTheme="majorBidi" w:hAnsiTheme="majorBidi" w:cstheme="majorBidi"/>
                <w:sz w:val="16"/>
                <w:szCs w:val="16"/>
                <w:lang w:bidi="ar-IQ"/>
              </w:rPr>
              <w:t>7.6 ± 3.4</w:t>
            </w:r>
          </w:p>
          <w:p w14:paraId="5E6DFA47" w14:textId="6CC480AF" w:rsidR="008C5566" w:rsidRPr="00AB09C1" w:rsidRDefault="008C5566" w:rsidP="008C5566">
            <w:pPr>
              <w:jc w:val="center"/>
              <w:rPr>
                <w:rFonts w:asciiTheme="majorBidi" w:hAnsiTheme="majorBidi" w:cstheme="majorBidi"/>
                <w:sz w:val="16"/>
                <w:szCs w:val="16"/>
                <w:lang w:bidi="ar-IQ"/>
              </w:rPr>
            </w:pPr>
          </w:p>
        </w:tc>
        <w:tc>
          <w:tcPr>
            <w:tcW w:w="2041" w:type="dxa"/>
          </w:tcPr>
          <w:p w14:paraId="3C276A28" w14:textId="57492525" w:rsidR="008C5566" w:rsidRPr="00AB09C1" w:rsidRDefault="008C5566" w:rsidP="008C5566">
            <w:pPr>
              <w:jc w:val="center"/>
              <w:rPr>
                <w:rFonts w:asciiTheme="majorBidi" w:hAnsiTheme="majorBidi" w:cstheme="majorBidi"/>
                <w:sz w:val="16"/>
                <w:szCs w:val="16"/>
                <w:lang w:bidi="ar-IQ"/>
              </w:rPr>
            </w:pPr>
            <w:r w:rsidRPr="008C5566">
              <w:rPr>
                <w:rFonts w:asciiTheme="majorBidi" w:hAnsiTheme="majorBidi" w:cstheme="majorBidi"/>
                <w:sz w:val="16"/>
                <w:szCs w:val="16"/>
                <w:lang w:bidi="ar-IQ"/>
              </w:rPr>
              <w:t>8.14 ± 1.5</w:t>
            </w:r>
          </w:p>
        </w:tc>
        <w:tc>
          <w:tcPr>
            <w:tcW w:w="2041" w:type="dxa"/>
          </w:tcPr>
          <w:p w14:paraId="068C7CFF" w14:textId="02A730DD" w:rsidR="008C5566" w:rsidRPr="00AB09C1" w:rsidRDefault="008C5566" w:rsidP="008C5566">
            <w:pPr>
              <w:jc w:val="center"/>
              <w:rPr>
                <w:rFonts w:asciiTheme="majorBidi" w:hAnsiTheme="majorBidi" w:cstheme="majorBidi"/>
                <w:sz w:val="16"/>
                <w:szCs w:val="16"/>
                <w:lang w:bidi="ar-IQ"/>
              </w:rPr>
            </w:pPr>
            <w:r w:rsidRPr="008C5566">
              <w:rPr>
                <w:rFonts w:asciiTheme="majorBidi" w:hAnsiTheme="majorBidi" w:cstheme="majorBidi"/>
                <w:sz w:val="16"/>
                <w:szCs w:val="16"/>
                <w:lang w:bidi="ar-IQ"/>
              </w:rPr>
              <w:t>NS</w:t>
            </w:r>
          </w:p>
        </w:tc>
      </w:tr>
    </w:tbl>
    <w:p w14:paraId="0640D447" w14:textId="77777777" w:rsidR="000B62F3" w:rsidRDefault="000B62F3" w:rsidP="00A67359">
      <w:pPr>
        <w:jc w:val="both"/>
        <w:rPr>
          <w:rFonts w:asciiTheme="majorBidi" w:hAnsiTheme="majorBidi" w:cstheme="majorBidi"/>
          <w:b/>
          <w:bCs/>
          <w:lang w:bidi="ar-IQ"/>
        </w:rPr>
      </w:pPr>
    </w:p>
    <w:p w14:paraId="18D9C710" w14:textId="77777777" w:rsidR="00A67359" w:rsidRPr="00A67359" w:rsidRDefault="00A67359" w:rsidP="00A67359">
      <w:pPr>
        <w:jc w:val="both"/>
        <w:rPr>
          <w:rFonts w:asciiTheme="majorBidi" w:hAnsiTheme="majorBidi" w:cstheme="majorBidi"/>
          <w:b/>
          <w:bCs/>
          <w:lang w:bidi="ar-IQ"/>
        </w:rPr>
      </w:pPr>
      <w:r w:rsidRPr="00A67359">
        <w:rPr>
          <w:rFonts w:asciiTheme="majorBidi" w:hAnsiTheme="majorBidi" w:cstheme="majorBidi"/>
          <w:b/>
          <w:bCs/>
          <w:lang w:bidi="ar-IQ"/>
        </w:rPr>
        <w:t>NS= No significant</w:t>
      </w:r>
    </w:p>
    <w:p w14:paraId="07EFD4A2" w14:textId="77777777" w:rsidR="00960074" w:rsidRPr="00176F30" w:rsidRDefault="00960074" w:rsidP="00176F30">
      <w:pPr>
        <w:jc w:val="both"/>
        <w:rPr>
          <w:sz w:val="12"/>
          <w:szCs w:val="12"/>
        </w:rPr>
      </w:pPr>
    </w:p>
    <w:p w14:paraId="0B639157" w14:textId="4B7BA13B" w:rsidR="00A67359" w:rsidRDefault="00A67359" w:rsidP="00A67359">
      <w:pPr>
        <w:jc w:val="both"/>
        <w:rPr>
          <w:rFonts w:asciiTheme="majorBidi" w:hAnsiTheme="majorBidi" w:cstheme="majorBidi"/>
          <w:lang w:bidi="ar-IQ"/>
        </w:rPr>
      </w:pPr>
      <w:r w:rsidRPr="00A67359">
        <w:rPr>
          <w:rFonts w:asciiTheme="majorBidi" w:hAnsiTheme="majorBidi" w:cstheme="majorBidi"/>
          <w:b/>
          <w:bCs/>
          <w:lang w:bidi="ar-IQ"/>
        </w:rPr>
        <w:t>Table 2</w:t>
      </w:r>
      <w:r w:rsidRPr="00A67359">
        <w:rPr>
          <w:rFonts w:asciiTheme="majorBidi" w:hAnsiTheme="majorBidi" w:cstheme="majorBidi"/>
          <w:lang w:bidi="ar-IQ"/>
        </w:rPr>
        <w:t xml:space="preserve"> show a high significant reduction in PCV, of beta thalassemia patients as compare with male </w:t>
      </w:r>
      <w:r w:rsidRPr="00A67359">
        <w:rPr>
          <w:rFonts w:asciiTheme="majorBidi" w:hAnsiTheme="majorBidi" w:cstheme="majorBidi"/>
          <w:b/>
          <w:bCs/>
          <w:lang w:bidi="ar-IQ"/>
        </w:rPr>
        <w:t>α</w:t>
      </w:r>
      <w:r w:rsidRPr="00A67359">
        <w:rPr>
          <w:rFonts w:asciiTheme="majorBidi" w:hAnsiTheme="majorBidi" w:cstheme="majorBidi"/>
          <w:lang w:bidi="ar-IQ"/>
        </w:rPr>
        <w:t xml:space="preserve"> thalassemia, (P ≤ 0.01). </w:t>
      </w:r>
      <w:r w:rsidR="006D7D00" w:rsidRPr="00A67359">
        <w:rPr>
          <w:rFonts w:asciiTheme="majorBidi" w:hAnsiTheme="majorBidi" w:cstheme="majorBidi"/>
          <w:lang w:bidi="ar-IQ"/>
        </w:rPr>
        <w:t>This resul</w:t>
      </w:r>
      <w:r w:rsidR="006D7D00">
        <w:rPr>
          <w:rFonts w:asciiTheme="majorBidi" w:hAnsiTheme="majorBidi" w:cstheme="majorBidi"/>
          <w:lang w:bidi="ar-IQ"/>
        </w:rPr>
        <w:t>t agrees</w:t>
      </w:r>
      <w:r w:rsidR="00176F30">
        <w:rPr>
          <w:rFonts w:asciiTheme="majorBidi" w:hAnsiTheme="majorBidi" w:cstheme="majorBidi"/>
          <w:lang w:bidi="ar-IQ"/>
        </w:rPr>
        <w:t xml:space="preserve"> with previous studies [</w:t>
      </w:r>
      <w:r w:rsidRPr="00A67359">
        <w:rPr>
          <w:rFonts w:asciiTheme="majorBidi" w:hAnsiTheme="majorBidi" w:cstheme="majorBidi"/>
          <w:lang w:bidi="ar-IQ"/>
        </w:rPr>
        <w:t>2,</w:t>
      </w:r>
      <w:r w:rsidR="00176F30">
        <w:rPr>
          <w:rFonts w:asciiTheme="majorBidi" w:hAnsiTheme="majorBidi" w:cstheme="majorBidi"/>
          <w:lang w:bidi="ar-IQ"/>
        </w:rPr>
        <w:t xml:space="preserve"> 5]</w:t>
      </w:r>
      <w:r w:rsidRPr="00A67359">
        <w:rPr>
          <w:rFonts w:asciiTheme="majorBidi" w:hAnsiTheme="majorBidi" w:cstheme="majorBidi"/>
          <w:lang w:bidi="ar-IQ"/>
        </w:rPr>
        <w:t>.</w:t>
      </w:r>
      <w:r w:rsidR="00176F30">
        <w:rPr>
          <w:rFonts w:asciiTheme="majorBidi" w:hAnsiTheme="majorBidi" w:cstheme="majorBidi"/>
          <w:lang w:bidi="ar-IQ"/>
        </w:rPr>
        <w:t xml:space="preserve"> </w:t>
      </w:r>
    </w:p>
    <w:p w14:paraId="54D35018" w14:textId="77777777" w:rsidR="00176F30" w:rsidRPr="00176F30" w:rsidRDefault="00176F30" w:rsidP="00A67359">
      <w:pPr>
        <w:jc w:val="both"/>
        <w:rPr>
          <w:rFonts w:asciiTheme="majorBidi" w:hAnsiTheme="majorBidi" w:cstheme="majorBidi"/>
          <w:sz w:val="8"/>
          <w:szCs w:val="8"/>
          <w:lang w:bidi="ar-IQ"/>
        </w:rPr>
      </w:pPr>
    </w:p>
    <w:p w14:paraId="05CB770C" w14:textId="79A4B907" w:rsidR="00A67359" w:rsidRDefault="00A67359" w:rsidP="00A67359">
      <w:pPr>
        <w:jc w:val="both"/>
        <w:rPr>
          <w:rFonts w:asciiTheme="majorBidi" w:hAnsiTheme="majorBidi" w:cstheme="majorBidi"/>
          <w:lang w:bidi="ar-IQ"/>
        </w:rPr>
      </w:pPr>
      <w:r w:rsidRPr="00A67359">
        <w:rPr>
          <w:rFonts w:asciiTheme="majorBidi" w:hAnsiTheme="majorBidi" w:cstheme="majorBidi"/>
          <w:lang w:bidi="ar-IQ"/>
        </w:rPr>
        <w:t>However, in this study, there is unsignificant difference in the total count of white blood cells count of βeta thalassemia patients as compare with α thalassemia patient. The present study does not agree with previous studies, who found a significant elevation in</w:t>
      </w:r>
      <w:r w:rsidR="00176F30">
        <w:rPr>
          <w:rFonts w:asciiTheme="majorBidi" w:hAnsiTheme="majorBidi" w:cstheme="majorBidi"/>
          <w:lang w:bidi="ar-IQ"/>
        </w:rPr>
        <w:t xml:space="preserve"> WBCs of thalassemia patients [</w:t>
      </w:r>
      <w:r w:rsidRPr="00A67359">
        <w:rPr>
          <w:rFonts w:asciiTheme="majorBidi" w:hAnsiTheme="majorBidi" w:cstheme="majorBidi"/>
          <w:lang w:bidi="ar-IQ"/>
        </w:rPr>
        <w:t xml:space="preserve">5, 15, </w:t>
      </w:r>
      <w:r w:rsidR="00176F30">
        <w:rPr>
          <w:rFonts w:asciiTheme="majorBidi" w:hAnsiTheme="majorBidi" w:cstheme="majorBidi"/>
          <w:lang w:bidi="ar-IQ"/>
        </w:rPr>
        <w:t>16]</w:t>
      </w:r>
      <w:r w:rsidRPr="00A67359">
        <w:rPr>
          <w:rFonts w:asciiTheme="majorBidi" w:hAnsiTheme="majorBidi" w:cstheme="majorBidi"/>
          <w:lang w:bidi="ar-IQ"/>
        </w:rPr>
        <w:t>.</w:t>
      </w:r>
      <w:r w:rsidR="00176F30">
        <w:rPr>
          <w:rFonts w:asciiTheme="majorBidi" w:hAnsiTheme="majorBidi" w:cstheme="majorBidi"/>
          <w:lang w:bidi="ar-IQ"/>
        </w:rPr>
        <w:t xml:space="preserve"> </w:t>
      </w:r>
    </w:p>
    <w:p w14:paraId="3F5B46EA" w14:textId="77777777" w:rsidR="00176F30" w:rsidRPr="00176F30" w:rsidRDefault="00176F30" w:rsidP="00A67359">
      <w:pPr>
        <w:jc w:val="both"/>
        <w:rPr>
          <w:rFonts w:asciiTheme="majorBidi" w:hAnsiTheme="majorBidi" w:cstheme="majorBidi"/>
          <w:sz w:val="8"/>
          <w:szCs w:val="8"/>
          <w:lang w:bidi="ar-IQ"/>
        </w:rPr>
      </w:pPr>
    </w:p>
    <w:p w14:paraId="69A2C2ED" w14:textId="2DBF5B54" w:rsidR="00A67359" w:rsidRDefault="00A67359" w:rsidP="00A67359">
      <w:pPr>
        <w:jc w:val="both"/>
        <w:rPr>
          <w:rFonts w:asciiTheme="majorBidi" w:hAnsiTheme="majorBidi" w:cstheme="majorBidi"/>
          <w:lang w:bidi="ar-IQ"/>
        </w:rPr>
      </w:pPr>
      <w:r w:rsidRPr="00A67359">
        <w:rPr>
          <w:rFonts w:asciiTheme="majorBidi" w:hAnsiTheme="majorBidi" w:cstheme="majorBidi"/>
          <w:lang w:bidi="ar-IQ"/>
        </w:rPr>
        <w:t xml:space="preserve">In </w:t>
      </w:r>
      <w:r w:rsidRPr="00A67359">
        <w:rPr>
          <w:rFonts w:asciiTheme="majorBidi" w:hAnsiTheme="majorBidi" w:cstheme="majorBidi"/>
          <w:b/>
          <w:bCs/>
          <w:lang w:bidi="ar-IQ"/>
        </w:rPr>
        <w:t>table 3</w:t>
      </w:r>
      <w:r w:rsidR="00176F30">
        <w:rPr>
          <w:rFonts w:asciiTheme="majorBidi" w:hAnsiTheme="majorBidi" w:cstheme="majorBidi"/>
          <w:lang w:bidi="ar-IQ"/>
        </w:rPr>
        <w:t>, t</w:t>
      </w:r>
      <w:r w:rsidRPr="00A67359">
        <w:rPr>
          <w:rFonts w:asciiTheme="majorBidi" w:hAnsiTheme="majorBidi" w:cstheme="majorBidi"/>
          <w:lang w:bidi="ar-IQ"/>
        </w:rPr>
        <w:t>here is a highly notable rise in ferritin levels. concentration of β-thalassemia patients (4417 ± 117.4 ng/ml) as compare with α-thalassemia patients (367.1 ± 86.1</w:t>
      </w:r>
      <w:r w:rsidRPr="00A67359">
        <w:rPr>
          <w:rFonts w:asciiTheme="majorBidi" w:hAnsiTheme="majorBidi" w:cstheme="majorBidi"/>
          <w:b/>
          <w:bCs/>
          <w:lang w:bidi="ar-IQ"/>
        </w:rPr>
        <w:t xml:space="preserve"> </w:t>
      </w:r>
      <w:r w:rsidRPr="00A67359">
        <w:rPr>
          <w:rFonts w:asciiTheme="majorBidi" w:hAnsiTheme="majorBidi" w:cstheme="majorBidi"/>
          <w:lang w:bidi="ar-IQ"/>
        </w:rPr>
        <w:t>ng/ml; P≤ 0.01), as shown in table 3. The present result of ferritin agree</w:t>
      </w:r>
      <w:r w:rsidR="00176F30">
        <w:rPr>
          <w:rFonts w:asciiTheme="majorBidi" w:hAnsiTheme="majorBidi" w:cstheme="majorBidi"/>
          <w:lang w:bidi="ar-IQ"/>
        </w:rPr>
        <w:t>s with previous findings [4, 14]</w:t>
      </w:r>
      <w:r w:rsidRPr="00A67359">
        <w:rPr>
          <w:rFonts w:asciiTheme="majorBidi" w:hAnsiTheme="majorBidi" w:cstheme="majorBidi"/>
          <w:lang w:bidi="ar-IQ"/>
        </w:rPr>
        <w:t>.</w:t>
      </w:r>
      <w:r w:rsidR="00176F30">
        <w:rPr>
          <w:rFonts w:asciiTheme="majorBidi" w:hAnsiTheme="majorBidi" w:cstheme="majorBidi"/>
          <w:lang w:bidi="ar-IQ"/>
        </w:rPr>
        <w:t xml:space="preserve"> </w:t>
      </w:r>
    </w:p>
    <w:p w14:paraId="30F3FC55" w14:textId="77777777" w:rsidR="00357F2B" w:rsidRPr="00357F2B" w:rsidRDefault="00357F2B" w:rsidP="00A67359">
      <w:pPr>
        <w:jc w:val="both"/>
        <w:rPr>
          <w:rFonts w:asciiTheme="majorBidi" w:hAnsiTheme="majorBidi" w:cstheme="majorBidi"/>
          <w:sz w:val="12"/>
          <w:szCs w:val="12"/>
          <w:lang w:bidi="ar-IQ"/>
        </w:rPr>
      </w:pPr>
    </w:p>
    <w:p w14:paraId="1B2410AA" w14:textId="4CDA9146" w:rsidR="00357F2B" w:rsidRPr="00357F2B" w:rsidRDefault="00357F2B" w:rsidP="00A67359">
      <w:pPr>
        <w:jc w:val="both"/>
        <w:rPr>
          <w:rFonts w:asciiTheme="majorBidi" w:hAnsiTheme="majorBidi" w:cstheme="majorBidi"/>
          <w:lang w:bidi="ar-IQ"/>
        </w:rPr>
      </w:pPr>
      <w:r w:rsidRPr="00357F2B">
        <w:rPr>
          <w:rFonts w:asciiTheme="majorBidi" w:hAnsiTheme="majorBidi" w:cstheme="majorBidi"/>
          <w:lang w:bidi="ar-IQ"/>
        </w:rPr>
        <w:t>Table 3 show the mean and Standard Deviation of ferritin and IL-6 of thalassemia patients and control subjects</w:t>
      </w:r>
    </w:p>
    <w:p w14:paraId="01D3F7B2" w14:textId="77777777" w:rsidR="00357F2B" w:rsidRPr="00357F2B" w:rsidRDefault="00357F2B" w:rsidP="00A67359">
      <w:pPr>
        <w:jc w:val="both"/>
        <w:rPr>
          <w:rFonts w:asciiTheme="majorBidi" w:hAnsiTheme="majorBidi" w:cstheme="majorBidi"/>
          <w:sz w:val="8"/>
          <w:szCs w:val="8"/>
          <w:lang w:bidi="ar-IQ"/>
        </w:rPr>
      </w:pPr>
    </w:p>
    <w:tbl>
      <w:tblPr>
        <w:tblpPr w:leftFromText="180" w:rightFromText="180" w:vertAnchor="text" w:horzAnchor="margin"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2218"/>
        <w:gridCol w:w="2204"/>
        <w:gridCol w:w="2204"/>
      </w:tblGrid>
      <w:tr w:rsidR="00357F2B" w:rsidRPr="003D6B19" w14:paraId="2337F57D" w14:textId="77777777" w:rsidTr="00341927">
        <w:trPr>
          <w:trHeight w:val="1000"/>
        </w:trPr>
        <w:tc>
          <w:tcPr>
            <w:tcW w:w="1835" w:type="dxa"/>
          </w:tcPr>
          <w:p w14:paraId="2D12C1D1" w14:textId="77777777" w:rsidR="00357F2B" w:rsidRPr="00AB09C1" w:rsidRDefault="00357F2B" w:rsidP="00357F2B">
            <w:pPr>
              <w:jc w:val="center"/>
              <w:rPr>
                <w:rFonts w:asciiTheme="majorBidi" w:hAnsiTheme="majorBidi" w:cstheme="majorBidi"/>
                <w:sz w:val="16"/>
                <w:szCs w:val="16"/>
                <w:lang w:bidi="ar-IQ"/>
              </w:rPr>
            </w:pPr>
            <w:r w:rsidRPr="008C5566">
              <w:rPr>
                <w:rFonts w:asciiTheme="majorBidi" w:hAnsiTheme="majorBidi" w:cstheme="majorBidi"/>
                <w:sz w:val="16"/>
                <w:szCs w:val="16"/>
                <w:lang w:bidi="ar-IQ"/>
              </w:rPr>
              <w:t>Parameters</w:t>
            </w:r>
          </w:p>
        </w:tc>
        <w:tc>
          <w:tcPr>
            <w:tcW w:w="2218" w:type="dxa"/>
          </w:tcPr>
          <w:p w14:paraId="43A22B2B" w14:textId="77777777" w:rsidR="00357F2B" w:rsidRPr="00AB09C1" w:rsidRDefault="00357F2B" w:rsidP="00357F2B">
            <w:pPr>
              <w:jc w:val="center"/>
              <w:rPr>
                <w:rFonts w:asciiTheme="majorBidi" w:hAnsiTheme="majorBidi" w:cstheme="majorBidi"/>
                <w:sz w:val="16"/>
                <w:szCs w:val="16"/>
                <w:lang w:bidi="ar-IQ"/>
              </w:rPr>
            </w:pPr>
            <w:r w:rsidRPr="00AB09C1">
              <w:rPr>
                <w:rFonts w:asciiTheme="majorBidi" w:hAnsiTheme="majorBidi" w:cstheme="majorBidi"/>
                <w:sz w:val="16"/>
                <w:szCs w:val="16"/>
                <w:lang w:bidi="ar-IQ"/>
              </w:rPr>
              <w:t>β Thalassemia patients</w:t>
            </w:r>
          </w:p>
        </w:tc>
        <w:tc>
          <w:tcPr>
            <w:tcW w:w="2204" w:type="dxa"/>
          </w:tcPr>
          <w:p w14:paraId="3F5EF776" w14:textId="77777777" w:rsidR="00357F2B" w:rsidRPr="00AB09C1" w:rsidRDefault="00357F2B" w:rsidP="00357F2B">
            <w:pPr>
              <w:jc w:val="center"/>
              <w:rPr>
                <w:rFonts w:asciiTheme="majorBidi" w:hAnsiTheme="majorBidi" w:cstheme="majorBidi"/>
                <w:sz w:val="16"/>
                <w:szCs w:val="16"/>
                <w:lang w:bidi="ar-IQ"/>
              </w:rPr>
            </w:pPr>
            <w:r w:rsidRPr="00AB09C1">
              <w:rPr>
                <w:rFonts w:asciiTheme="majorBidi" w:hAnsiTheme="majorBidi" w:cstheme="majorBidi"/>
                <w:sz w:val="16"/>
                <w:szCs w:val="16"/>
                <w:lang w:bidi="ar-IQ"/>
              </w:rPr>
              <w:t>α thalassemia)</w:t>
            </w:r>
          </w:p>
        </w:tc>
        <w:tc>
          <w:tcPr>
            <w:tcW w:w="2204" w:type="dxa"/>
          </w:tcPr>
          <w:p w14:paraId="39483C24" w14:textId="77777777" w:rsidR="00357F2B" w:rsidRPr="00AB09C1" w:rsidRDefault="00357F2B" w:rsidP="00357F2B">
            <w:pPr>
              <w:jc w:val="center"/>
              <w:rPr>
                <w:rFonts w:asciiTheme="majorBidi" w:hAnsiTheme="majorBidi" w:cstheme="majorBidi"/>
                <w:sz w:val="16"/>
                <w:szCs w:val="16"/>
                <w:lang w:bidi="ar-IQ"/>
              </w:rPr>
            </w:pPr>
            <w:r w:rsidRPr="008C5566">
              <w:rPr>
                <w:rFonts w:asciiTheme="majorBidi" w:hAnsiTheme="majorBidi" w:cstheme="majorBidi"/>
                <w:sz w:val="16"/>
                <w:szCs w:val="16"/>
                <w:lang w:bidi="ar-IQ"/>
              </w:rPr>
              <w:t>P≤ value</w:t>
            </w:r>
          </w:p>
        </w:tc>
      </w:tr>
      <w:tr w:rsidR="00357F2B" w:rsidRPr="003D6B19" w14:paraId="54BDE552" w14:textId="77777777" w:rsidTr="00341927">
        <w:trPr>
          <w:trHeight w:val="968"/>
        </w:trPr>
        <w:tc>
          <w:tcPr>
            <w:tcW w:w="1835" w:type="dxa"/>
          </w:tcPr>
          <w:p w14:paraId="34D19008" w14:textId="77777777" w:rsidR="00357F2B" w:rsidRPr="00AB09C1" w:rsidRDefault="00357F2B" w:rsidP="00357F2B">
            <w:pPr>
              <w:jc w:val="center"/>
              <w:rPr>
                <w:rFonts w:asciiTheme="majorBidi" w:hAnsiTheme="majorBidi" w:cstheme="majorBidi"/>
                <w:sz w:val="16"/>
                <w:szCs w:val="16"/>
                <w:lang w:bidi="ar-IQ"/>
              </w:rPr>
            </w:pPr>
            <w:r w:rsidRPr="00A67359">
              <w:rPr>
                <w:rFonts w:asciiTheme="majorBidi" w:hAnsiTheme="majorBidi" w:cstheme="majorBidi"/>
                <w:sz w:val="16"/>
                <w:szCs w:val="16"/>
                <w:lang w:bidi="ar-IQ"/>
              </w:rPr>
              <w:t>Ferritin (ng/ml)</w:t>
            </w:r>
          </w:p>
        </w:tc>
        <w:tc>
          <w:tcPr>
            <w:tcW w:w="2218" w:type="dxa"/>
          </w:tcPr>
          <w:p w14:paraId="668F51A7" w14:textId="77777777" w:rsidR="00357F2B" w:rsidRPr="00AB09C1" w:rsidRDefault="00357F2B" w:rsidP="00357F2B">
            <w:pPr>
              <w:jc w:val="center"/>
              <w:rPr>
                <w:rFonts w:asciiTheme="majorBidi" w:hAnsiTheme="majorBidi" w:cstheme="majorBidi"/>
                <w:sz w:val="16"/>
                <w:szCs w:val="16"/>
                <w:lang w:bidi="ar-IQ"/>
              </w:rPr>
            </w:pPr>
            <w:r w:rsidRPr="00A67359">
              <w:rPr>
                <w:rFonts w:asciiTheme="majorBidi" w:hAnsiTheme="majorBidi" w:cstheme="majorBidi"/>
                <w:sz w:val="16"/>
                <w:szCs w:val="16"/>
                <w:lang w:bidi="ar-IQ"/>
              </w:rPr>
              <w:t>4417 ± 117.4</w:t>
            </w:r>
          </w:p>
        </w:tc>
        <w:tc>
          <w:tcPr>
            <w:tcW w:w="2204" w:type="dxa"/>
          </w:tcPr>
          <w:p w14:paraId="233C7033" w14:textId="77777777" w:rsidR="00357F2B" w:rsidRPr="00AB09C1" w:rsidRDefault="00357F2B" w:rsidP="00357F2B">
            <w:pPr>
              <w:jc w:val="center"/>
              <w:rPr>
                <w:rFonts w:asciiTheme="majorBidi" w:hAnsiTheme="majorBidi" w:cstheme="majorBidi"/>
                <w:sz w:val="16"/>
                <w:szCs w:val="16"/>
                <w:lang w:bidi="ar-IQ"/>
              </w:rPr>
            </w:pPr>
            <w:r w:rsidRPr="00A67359">
              <w:rPr>
                <w:rFonts w:asciiTheme="majorBidi" w:hAnsiTheme="majorBidi" w:cstheme="majorBidi"/>
                <w:sz w:val="16"/>
                <w:szCs w:val="16"/>
                <w:lang w:bidi="ar-IQ"/>
              </w:rPr>
              <w:t>367.1 ± 86.1</w:t>
            </w:r>
          </w:p>
        </w:tc>
        <w:tc>
          <w:tcPr>
            <w:tcW w:w="2204" w:type="dxa"/>
          </w:tcPr>
          <w:p w14:paraId="60A92A05" w14:textId="77777777" w:rsidR="00357F2B" w:rsidRPr="00AB09C1" w:rsidRDefault="00357F2B" w:rsidP="00357F2B">
            <w:pPr>
              <w:jc w:val="center"/>
              <w:rPr>
                <w:rFonts w:asciiTheme="majorBidi" w:hAnsiTheme="majorBidi" w:cstheme="majorBidi"/>
                <w:sz w:val="16"/>
                <w:szCs w:val="16"/>
                <w:lang w:bidi="ar-IQ"/>
              </w:rPr>
            </w:pPr>
            <w:r w:rsidRPr="00A67359">
              <w:rPr>
                <w:rFonts w:asciiTheme="majorBidi" w:hAnsiTheme="majorBidi" w:cstheme="majorBidi"/>
                <w:sz w:val="16"/>
                <w:szCs w:val="16"/>
                <w:lang w:bidi="ar-IQ"/>
              </w:rPr>
              <w:t>0.01</w:t>
            </w:r>
          </w:p>
        </w:tc>
      </w:tr>
      <w:tr w:rsidR="00357F2B" w:rsidRPr="003D6B19" w14:paraId="2E276678" w14:textId="77777777" w:rsidTr="00341927">
        <w:trPr>
          <w:trHeight w:val="483"/>
        </w:trPr>
        <w:tc>
          <w:tcPr>
            <w:tcW w:w="1835" w:type="dxa"/>
          </w:tcPr>
          <w:p w14:paraId="14135D06" w14:textId="77777777" w:rsidR="00357F2B" w:rsidRPr="00AB09C1" w:rsidRDefault="00357F2B" w:rsidP="00357F2B">
            <w:pPr>
              <w:jc w:val="center"/>
              <w:rPr>
                <w:rFonts w:asciiTheme="majorBidi" w:hAnsiTheme="majorBidi" w:cstheme="majorBidi"/>
                <w:sz w:val="16"/>
                <w:szCs w:val="16"/>
                <w:lang w:bidi="ar-IQ"/>
              </w:rPr>
            </w:pPr>
            <w:r w:rsidRPr="00A67359">
              <w:rPr>
                <w:rFonts w:asciiTheme="majorBidi" w:hAnsiTheme="majorBidi" w:cstheme="majorBidi"/>
                <w:sz w:val="16"/>
                <w:szCs w:val="16"/>
                <w:lang w:bidi="ar-IQ"/>
              </w:rPr>
              <w:t>IL-6</w:t>
            </w:r>
          </w:p>
        </w:tc>
        <w:tc>
          <w:tcPr>
            <w:tcW w:w="2218" w:type="dxa"/>
          </w:tcPr>
          <w:p w14:paraId="45E467AD" w14:textId="77777777" w:rsidR="00357F2B" w:rsidRPr="00AB09C1" w:rsidRDefault="00357F2B" w:rsidP="00357F2B">
            <w:pPr>
              <w:jc w:val="center"/>
              <w:rPr>
                <w:rFonts w:asciiTheme="majorBidi" w:hAnsiTheme="majorBidi" w:cstheme="majorBidi"/>
                <w:sz w:val="16"/>
                <w:szCs w:val="16"/>
                <w:lang w:bidi="ar-IQ"/>
              </w:rPr>
            </w:pPr>
            <w:r w:rsidRPr="00A67359">
              <w:rPr>
                <w:rFonts w:asciiTheme="majorBidi" w:hAnsiTheme="majorBidi" w:cstheme="majorBidi"/>
                <w:sz w:val="16"/>
                <w:szCs w:val="16"/>
                <w:lang w:bidi="ar-IQ"/>
              </w:rPr>
              <w:t>367.4  ± 86</w:t>
            </w:r>
          </w:p>
        </w:tc>
        <w:tc>
          <w:tcPr>
            <w:tcW w:w="2204" w:type="dxa"/>
          </w:tcPr>
          <w:p w14:paraId="666A3009" w14:textId="77777777" w:rsidR="00357F2B" w:rsidRPr="00AB09C1" w:rsidRDefault="00357F2B" w:rsidP="00357F2B">
            <w:pPr>
              <w:jc w:val="center"/>
              <w:rPr>
                <w:rFonts w:asciiTheme="majorBidi" w:hAnsiTheme="majorBidi" w:cstheme="majorBidi"/>
                <w:sz w:val="16"/>
                <w:szCs w:val="16"/>
                <w:lang w:bidi="ar-IQ"/>
              </w:rPr>
            </w:pPr>
            <w:r w:rsidRPr="00A67359">
              <w:rPr>
                <w:rFonts w:asciiTheme="majorBidi" w:hAnsiTheme="majorBidi" w:cstheme="majorBidi"/>
                <w:sz w:val="16"/>
                <w:szCs w:val="16"/>
                <w:lang w:bidi="ar-IQ"/>
              </w:rPr>
              <w:t>115.8 ±  50.3</w:t>
            </w:r>
          </w:p>
        </w:tc>
        <w:tc>
          <w:tcPr>
            <w:tcW w:w="2204" w:type="dxa"/>
          </w:tcPr>
          <w:p w14:paraId="12C1C175" w14:textId="77777777" w:rsidR="00357F2B" w:rsidRPr="00AB09C1" w:rsidRDefault="00357F2B" w:rsidP="00357F2B">
            <w:pPr>
              <w:jc w:val="center"/>
              <w:rPr>
                <w:rFonts w:asciiTheme="majorBidi" w:hAnsiTheme="majorBidi" w:cstheme="majorBidi"/>
                <w:sz w:val="16"/>
                <w:szCs w:val="16"/>
                <w:lang w:bidi="ar-IQ"/>
              </w:rPr>
            </w:pPr>
            <w:r w:rsidRPr="00A67359">
              <w:rPr>
                <w:rFonts w:asciiTheme="majorBidi" w:hAnsiTheme="majorBidi" w:cstheme="majorBidi"/>
                <w:sz w:val="16"/>
                <w:szCs w:val="16"/>
                <w:lang w:bidi="ar-IQ"/>
              </w:rPr>
              <w:t>0.01</w:t>
            </w:r>
          </w:p>
        </w:tc>
      </w:tr>
      <w:tr w:rsidR="00357F2B" w:rsidRPr="003D6B19" w14:paraId="1AA2B48A" w14:textId="77777777" w:rsidTr="00341927">
        <w:trPr>
          <w:trHeight w:val="548"/>
        </w:trPr>
        <w:tc>
          <w:tcPr>
            <w:tcW w:w="1835" w:type="dxa"/>
          </w:tcPr>
          <w:p w14:paraId="3892CF94" w14:textId="77777777" w:rsidR="00357F2B" w:rsidRPr="00AB09C1" w:rsidRDefault="00357F2B" w:rsidP="00357F2B">
            <w:pPr>
              <w:jc w:val="center"/>
              <w:rPr>
                <w:rFonts w:asciiTheme="majorBidi" w:hAnsiTheme="majorBidi" w:cstheme="majorBidi"/>
                <w:sz w:val="16"/>
                <w:szCs w:val="16"/>
                <w:lang w:bidi="ar-IQ"/>
              </w:rPr>
            </w:pPr>
            <w:r w:rsidRPr="00A67359">
              <w:rPr>
                <w:rFonts w:asciiTheme="majorBidi" w:hAnsiTheme="majorBidi" w:cstheme="majorBidi"/>
                <w:sz w:val="16"/>
                <w:szCs w:val="16"/>
                <w:lang w:bidi="ar-IQ"/>
              </w:rPr>
              <w:t>IFN-</w:t>
            </w:r>
            <w:r w:rsidRPr="00A67359">
              <w:rPr>
                <w:rFonts w:asciiTheme="majorBidi" w:hAnsiTheme="majorBidi" w:cstheme="majorBidi" w:hint="eastAsia"/>
                <w:sz w:val="16"/>
                <w:szCs w:val="16"/>
                <w:lang w:bidi="ar-IQ"/>
              </w:rPr>
              <w:t xml:space="preserve"> γ</w:t>
            </w:r>
          </w:p>
        </w:tc>
        <w:tc>
          <w:tcPr>
            <w:tcW w:w="2218" w:type="dxa"/>
          </w:tcPr>
          <w:p w14:paraId="73322D44" w14:textId="77777777" w:rsidR="00357F2B" w:rsidRPr="00AB09C1" w:rsidRDefault="00357F2B" w:rsidP="00357F2B">
            <w:pPr>
              <w:jc w:val="center"/>
              <w:rPr>
                <w:rFonts w:asciiTheme="majorBidi" w:hAnsiTheme="majorBidi" w:cstheme="majorBidi"/>
                <w:sz w:val="16"/>
                <w:szCs w:val="16"/>
                <w:lang w:bidi="ar-IQ"/>
              </w:rPr>
            </w:pPr>
            <w:r w:rsidRPr="00A67359">
              <w:rPr>
                <w:rFonts w:asciiTheme="majorBidi" w:hAnsiTheme="majorBidi" w:cstheme="majorBidi"/>
                <w:sz w:val="16"/>
                <w:szCs w:val="16"/>
                <w:lang w:bidi="ar-IQ"/>
              </w:rPr>
              <w:t>342 ± 153</w:t>
            </w:r>
          </w:p>
        </w:tc>
        <w:tc>
          <w:tcPr>
            <w:tcW w:w="2204" w:type="dxa"/>
          </w:tcPr>
          <w:p w14:paraId="66FF7500" w14:textId="77777777" w:rsidR="00357F2B" w:rsidRPr="00AB09C1" w:rsidRDefault="00357F2B" w:rsidP="00357F2B">
            <w:pPr>
              <w:jc w:val="center"/>
              <w:rPr>
                <w:rFonts w:asciiTheme="majorBidi" w:hAnsiTheme="majorBidi" w:cstheme="majorBidi"/>
                <w:sz w:val="16"/>
                <w:szCs w:val="16"/>
                <w:lang w:bidi="ar-IQ"/>
              </w:rPr>
            </w:pPr>
            <w:r w:rsidRPr="00A67359">
              <w:rPr>
                <w:rFonts w:asciiTheme="majorBidi" w:hAnsiTheme="majorBidi" w:cstheme="majorBidi"/>
                <w:sz w:val="16"/>
                <w:szCs w:val="16"/>
                <w:lang w:bidi="ar-IQ"/>
              </w:rPr>
              <w:t>219.4 ± 26.9</w:t>
            </w:r>
          </w:p>
        </w:tc>
        <w:tc>
          <w:tcPr>
            <w:tcW w:w="2204" w:type="dxa"/>
          </w:tcPr>
          <w:p w14:paraId="71385F08" w14:textId="77777777" w:rsidR="00357F2B" w:rsidRPr="00AB09C1" w:rsidRDefault="00357F2B" w:rsidP="00357F2B">
            <w:pPr>
              <w:jc w:val="center"/>
              <w:rPr>
                <w:rFonts w:asciiTheme="majorBidi" w:hAnsiTheme="majorBidi" w:cstheme="majorBidi"/>
                <w:sz w:val="16"/>
                <w:szCs w:val="16"/>
                <w:lang w:bidi="ar-IQ"/>
              </w:rPr>
            </w:pPr>
            <w:r w:rsidRPr="00A67359">
              <w:rPr>
                <w:rFonts w:asciiTheme="majorBidi" w:hAnsiTheme="majorBidi" w:cstheme="majorBidi"/>
                <w:sz w:val="16"/>
                <w:szCs w:val="16"/>
                <w:lang w:bidi="ar-IQ"/>
              </w:rPr>
              <w:t>0.05</w:t>
            </w:r>
          </w:p>
        </w:tc>
      </w:tr>
    </w:tbl>
    <w:p w14:paraId="3BD22854" w14:textId="77777777" w:rsidR="00357F2B" w:rsidRDefault="00357F2B" w:rsidP="00A67359">
      <w:pPr>
        <w:jc w:val="both"/>
        <w:rPr>
          <w:rFonts w:asciiTheme="majorBidi" w:hAnsiTheme="majorBidi" w:cstheme="majorBidi"/>
          <w:lang w:bidi="ar-IQ"/>
        </w:rPr>
      </w:pPr>
    </w:p>
    <w:p w14:paraId="0861EEFF" w14:textId="77777777" w:rsidR="00357F2B" w:rsidRDefault="00357F2B" w:rsidP="00A67359">
      <w:pPr>
        <w:jc w:val="both"/>
        <w:rPr>
          <w:rFonts w:asciiTheme="majorBidi" w:hAnsiTheme="majorBidi" w:cstheme="majorBidi"/>
          <w:lang w:bidi="ar-IQ"/>
        </w:rPr>
      </w:pPr>
    </w:p>
    <w:p w14:paraId="3056D43C" w14:textId="1F3209B7" w:rsidR="00B8607E" w:rsidRDefault="00176F30" w:rsidP="00357F2B">
      <w:pPr>
        <w:jc w:val="both"/>
        <w:rPr>
          <w:rFonts w:asciiTheme="majorBidi" w:hAnsiTheme="majorBidi" w:cstheme="majorBidi"/>
          <w:lang w:bidi="ar-IQ"/>
        </w:rPr>
      </w:pPr>
      <w:r>
        <w:rPr>
          <w:noProof/>
        </w:rPr>
        <w:lastRenderedPageBreak/>
        <w:drawing>
          <wp:anchor distT="0" distB="0" distL="114300" distR="114300" simplePos="0" relativeHeight="251658240" behindDoc="0" locked="0" layoutInCell="1" allowOverlap="1" wp14:anchorId="54D547CF" wp14:editId="43D4F87B">
            <wp:simplePos x="0" y="0"/>
            <wp:positionH relativeFrom="column">
              <wp:posOffset>297180</wp:posOffset>
            </wp:positionH>
            <wp:positionV relativeFrom="paragraph">
              <wp:posOffset>210185</wp:posOffset>
            </wp:positionV>
            <wp:extent cx="2419350" cy="2051050"/>
            <wp:effectExtent l="0" t="0" r="0" b="6350"/>
            <wp:wrapTopAndBottom/>
            <wp:docPr id="74059186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59186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9350" cy="2051050"/>
                    </a:xfrm>
                    <a:prstGeom prst="rect">
                      <a:avLst/>
                    </a:prstGeom>
                  </pic:spPr>
                </pic:pic>
              </a:graphicData>
            </a:graphic>
            <wp14:sizeRelH relativeFrom="page">
              <wp14:pctWidth>0</wp14:pctWidth>
            </wp14:sizeRelH>
            <wp14:sizeRelV relativeFrom="page">
              <wp14:pctHeight>0</wp14:pctHeight>
            </wp14:sizeRelV>
          </wp:anchor>
        </w:drawing>
      </w:r>
      <w:r w:rsidRPr="00F06664">
        <w:rPr>
          <w:noProof/>
        </w:rPr>
        <w:drawing>
          <wp:anchor distT="0" distB="0" distL="114300" distR="114300" simplePos="0" relativeHeight="251659264" behindDoc="0" locked="0" layoutInCell="1" allowOverlap="1" wp14:anchorId="69D5FF04" wp14:editId="28DBFA26">
            <wp:simplePos x="0" y="0"/>
            <wp:positionH relativeFrom="column">
              <wp:posOffset>2895600</wp:posOffset>
            </wp:positionH>
            <wp:positionV relativeFrom="paragraph">
              <wp:posOffset>248285</wp:posOffset>
            </wp:positionV>
            <wp:extent cx="3062605" cy="2018665"/>
            <wp:effectExtent l="0" t="0" r="4445" b="635"/>
            <wp:wrapTopAndBottom/>
            <wp:docPr id="2779260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2602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2605" cy="2018665"/>
                    </a:xfrm>
                    <a:prstGeom prst="rect">
                      <a:avLst/>
                    </a:prstGeom>
                  </pic:spPr>
                </pic:pic>
              </a:graphicData>
            </a:graphic>
            <wp14:sizeRelH relativeFrom="page">
              <wp14:pctWidth>0</wp14:pctWidth>
            </wp14:sizeRelH>
            <wp14:sizeRelV relativeFrom="page">
              <wp14:pctHeight>0</wp14:pctHeight>
            </wp14:sizeRelV>
          </wp:anchor>
        </w:drawing>
      </w:r>
    </w:p>
    <w:p w14:paraId="660BA34C" w14:textId="77777777" w:rsidR="00B8607E" w:rsidRDefault="00B8607E" w:rsidP="00A67359">
      <w:pPr>
        <w:jc w:val="both"/>
        <w:rPr>
          <w:rFonts w:asciiTheme="majorBidi" w:hAnsiTheme="majorBidi" w:cstheme="majorBidi"/>
          <w:lang w:bidi="ar-IQ"/>
        </w:rPr>
      </w:pPr>
    </w:p>
    <w:p w14:paraId="68641C01" w14:textId="77777777" w:rsidR="00357F2B" w:rsidRDefault="00357F2B" w:rsidP="00A67359">
      <w:pPr>
        <w:jc w:val="center"/>
        <w:rPr>
          <w:rFonts w:asciiTheme="majorBidi" w:hAnsiTheme="majorBidi" w:cstheme="majorBidi"/>
          <w:lang w:bidi="ar-IQ"/>
        </w:rPr>
      </w:pPr>
    </w:p>
    <w:p w14:paraId="63934B4C" w14:textId="5176968B" w:rsidR="00357F2B" w:rsidRDefault="00357F2B" w:rsidP="00A67359">
      <w:pPr>
        <w:jc w:val="center"/>
        <w:rPr>
          <w:rFonts w:asciiTheme="majorBidi" w:hAnsiTheme="majorBidi" w:cstheme="majorBidi"/>
          <w:lang w:bidi="ar-IQ"/>
        </w:rPr>
      </w:pPr>
      <w:r w:rsidRPr="009E7183">
        <w:rPr>
          <w:noProof/>
        </w:rPr>
        <w:drawing>
          <wp:anchor distT="0" distB="0" distL="114300" distR="114300" simplePos="0" relativeHeight="251661312" behindDoc="0" locked="0" layoutInCell="1" allowOverlap="1" wp14:anchorId="49860F93" wp14:editId="4D7A34A7">
            <wp:simplePos x="0" y="0"/>
            <wp:positionH relativeFrom="column">
              <wp:posOffset>-68580</wp:posOffset>
            </wp:positionH>
            <wp:positionV relativeFrom="paragraph">
              <wp:posOffset>459105</wp:posOffset>
            </wp:positionV>
            <wp:extent cx="2758440" cy="2193290"/>
            <wp:effectExtent l="0" t="0" r="3810" b="0"/>
            <wp:wrapTopAndBottom/>
            <wp:docPr id="104650899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508993" name=""/>
                    <pic:cNvPicPr/>
                  </pic:nvPicPr>
                  <pic:blipFill>
                    <a:blip r:embed="rId12">
                      <a:extLst>
                        <a:ext uri="{28A0092B-C50C-407E-A947-70E740481C1C}">
                          <a14:useLocalDpi xmlns:a14="http://schemas.microsoft.com/office/drawing/2010/main" val="0"/>
                        </a:ext>
                      </a:extLst>
                    </a:blip>
                    <a:stretch>
                      <a:fillRect/>
                    </a:stretch>
                  </pic:blipFill>
                  <pic:spPr>
                    <a:xfrm>
                      <a:off x="0" y="0"/>
                      <a:ext cx="2758440" cy="2193290"/>
                    </a:xfrm>
                    <a:prstGeom prst="rect">
                      <a:avLst/>
                    </a:prstGeom>
                  </pic:spPr>
                </pic:pic>
              </a:graphicData>
            </a:graphic>
            <wp14:sizeRelH relativeFrom="page">
              <wp14:pctWidth>0</wp14:pctWidth>
            </wp14:sizeRelH>
            <wp14:sizeRelV relativeFrom="page">
              <wp14:pctHeight>0</wp14:pctHeight>
            </wp14:sizeRelV>
          </wp:anchor>
        </w:drawing>
      </w:r>
    </w:p>
    <w:p w14:paraId="24BC82E5" w14:textId="5DAB82ED" w:rsidR="00357F2B" w:rsidRDefault="00357F2B" w:rsidP="00357F2B">
      <w:pPr>
        <w:rPr>
          <w:rFonts w:asciiTheme="majorBidi" w:hAnsiTheme="majorBidi" w:cstheme="majorBidi"/>
          <w:lang w:bidi="ar-IQ"/>
        </w:rPr>
      </w:pPr>
      <w:r w:rsidRPr="002B3BE8">
        <w:rPr>
          <w:noProof/>
        </w:rPr>
        <w:drawing>
          <wp:anchor distT="0" distB="0" distL="114300" distR="114300" simplePos="0" relativeHeight="251660288" behindDoc="1" locked="0" layoutInCell="1" allowOverlap="1" wp14:anchorId="26EA2253" wp14:editId="17CAA8F3">
            <wp:simplePos x="0" y="0"/>
            <wp:positionH relativeFrom="column">
              <wp:posOffset>3467100</wp:posOffset>
            </wp:positionH>
            <wp:positionV relativeFrom="paragraph">
              <wp:posOffset>37465</wp:posOffset>
            </wp:positionV>
            <wp:extent cx="2491740" cy="2340610"/>
            <wp:effectExtent l="0" t="0" r="3810" b="2540"/>
            <wp:wrapTopAndBottom/>
            <wp:docPr id="33347111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7111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91740" cy="2340610"/>
                    </a:xfrm>
                    <a:prstGeom prst="rect">
                      <a:avLst/>
                    </a:prstGeom>
                  </pic:spPr>
                </pic:pic>
              </a:graphicData>
            </a:graphic>
            <wp14:sizeRelH relativeFrom="page">
              <wp14:pctWidth>0</wp14:pctWidth>
            </wp14:sizeRelH>
            <wp14:sizeRelV relativeFrom="page">
              <wp14:pctHeight>0</wp14:pctHeight>
            </wp14:sizeRelV>
          </wp:anchor>
        </w:drawing>
      </w:r>
    </w:p>
    <w:p w14:paraId="68BCA520" w14:textId="77777777" w:rsidR="00357F2B" w:rsidRDefault="00357F2B" w:rsidP="00357F2B">
      <w:pPr>
        <w:rPr>
          <w:rFonts w:asciiTheme="majorBidi" w:hAnsiTheme="majorBidi" w:cstheme="majorBidi"/>
          <w:lang w:bidi="ar-IQ"/>
        </w:rPr>
      </w:pPr>
    </w:p>
    <w:p w14:paraId="38D9C5CB" w14:textId="5AD01E7A" w:rsidR="00A67359" w:rsidRDefault="00A67359" w:rsidP="00A67359">
      <w:pPr>
        <w:jc w:val="both"/>
      </w:pPr>
      <w:r w:rsidRPr="00A67359">
        <w:t>Also,</w:t>
      </w:r>
      <w:r w:rsidRPr="00A67359">
        <w:rPr>
          <w:b/>
          <w:bCs/>
        </w:rPr>
        <w:t xml:space="preserve"> table 3</w:t>
      </w:r>
      <w:r w:rsidRPr="00A67359">
        <w:t xml:space="preserve"> show that there is a highly remarkable elevation (p≤0.01) in the IL-6 level of </w:t>
      </w:r>
      <w:r w:rsidRPr="00A67359">
        <w:rPr>
          <w:rFonts w:hint="eastAsia"/>
        </w:rPr>
        <w:t>β</w:t>
      </w:r>
      <w:r w:rsidRPr="00A67359">
        <w:t>-thalassaemia major patients, (</w:t>
      </w:r>
      <w:r w:rsidR="00813078">
        <w:rPr>
          <w:b/>
          <w:bCs/>
        </w:rPr>
        <w:t xml:space="preserve">367.4 </w:t>
      </w:r>
      <w:r w:rsidRPr="00A67359">
        <w:rPr>
          <w:b/>
          <w:bCs/>
        </w:rPr>
        <w:t>± 86</w:t>
      </w:r>
      <w:r w:rsidRPr="00A67359">
        <w:t xml:space="preserve"> pg/mol) as compared with α thalassemia patients, (</w:t>
      </w:r>
      <w:r w:rsidRPr="00A67359">
        <w:rPr>
          <w:b/>
          <w:bCs/>
        </w:rPr>
        <w:t>115.8 ±  50.3</w:t>
      </w:r>
      <w:r w:rsidRPr="00A67359">
        <w:t>).</w:t>
      </w:r>
      <w:r w:rsidR="00813078">
        <w:t xml:space="preserve"> </w:t>
      </w:r>
    </w:p>
    <w:p w14:paraId="407C036D" w14:textId="77777777" w:rsidR="00813078" w:rsidRPr="00813078" w:rsidRDefault="00813078" w:rsidP="00A67359">
      <w:pPr>
        <w:jc w:val="both"/>
        <w:rPr>
          <w:sz w:val="12"/>
          <w:szCs w:val="12"/>
        </w:rPr>
      </w:pPr>
    </w:p>
    <w:p w14:paraId="1585DAC9" w14:textId="69C24EA9" w:rsidR="00A67359" w:rsidRDefault="00A67359" w:rsidP="00813078">
      <w:pPr>
        <w:jc w:val="both"/>
      </w:pPr>
      <w:r w:rsidRPr="00A67359">
        <w:t>Previous studies found that the elevation in concentrations of IL-6 concentration in β-thalassemia is due to several hemotransfusion and other complications, such as splenectomy and inc</w:t>
      </w:r>
      <w:r w:rsidR="00813078">
        <w:t>reased ferritin levels, which [</w:t>
      </w:r>
      <w:r w:rsidRPr="00A67359">
        <w:t>17, 18, 19, 20</w:t>
      </w:r>
      <w:r w:rsidR="00813078">
        <w:t>]</w:t>
      </w:r>
      <w:r w:rsidRPr="00A67359">
        <w:t>.</w:t>
      </w:r>
      <w:r w:rsidR="00813078">
        <w:t xml:space="preserve"> </w:t>
      </w:r>
    </w:p>
    <w:p w14:paraId="5E508A80" w14:textId="77777777" w:rsidR="00813078" w:rsidRPr="00813078" w:rsidRDefault="00813078" w:rsidP="00813078">
      <w:pPr>
        <w:jc w:val="both"/>
        <w:rPr>
          <w:sz w:val="12"/>
          <w:szCs w:val="12"/>
        </w:rPr>
      </w:pPr>
    </w:p>
    <w:p w14:paraId="4B2702EC" w14:textId="77777777" w:rsidR="00A67359" w:rsidRDefault="00A67359" w:rsidP="00A67359">
      <w:pPr>
        <w:jc w:val="both"/>
      </w:pPr>
      <w:r w:rsidRPr="00A67359">
        <w:t xml:space="preserve">Also, </w:t>
      </w:r>
      <w:r w:rsidRPr="00A67359">
        <w:rPr>
          <w:b/>
          <w:bCs/>
        </w:rPr>
        <w:t>table 3</w:t>
      </w:r>
      <w:r w:rsidRPr="00A67359">
        <w:t xml:space="preserve"> show that there is a noteworthy rise (p≤0.05) in the </w:t>
      </w:r>
      <w:r w:rsidRPr="00A67359">
        <w:rPr>
          <w:b/>
          <w:bCs/>
        </w:rPr>
        <w:t>IFN-</w:t>
      </w:r>
      <w:r w:rsidRPr="00A67359">
        <w:rPr>
          <w:rFonts w:hint="eastAsia"/>
        </w:rPr>
        <w:t xml:space="preserve"> </w:t>
      </w:r>
      <w:r w:rsidRPr="00A67359">
        <w:rPr>
          <w:rFonts w:hint="eastAsia"/>
          <w:b/>
          <w:bCs/>
        </w:rPr>
        <w:t>γ</w:t>
      </w:r>
      <w:r w:rsidRPr="00A67359">
        <w:t xml:space="preserve"> amount of beta thalassaemic patients, (</w:t>
      </w:r>
      <w:r w:rsidRPr="00A67359">
        <w:rPr>
          <w:b/>
          <w:bCs/>
        </w:rPr>
        <w:t>342 ± 153</w:t>
      </w:r>
      <w:r w:rsidRPr="00A67359">
        <w:t xml:space="preserve"> pg/ml) as compared with alfa thalassemia patients (</w:t>
      </w:r>
      <w:r w:rsidRPr="00A67359">
        <w:rPr>
          <w:b/>
          <w:bCs/>
        </w:rPr>
        <w:t>219.4 ± 26.9</w:t>
      </w:r>
      <w:r w:rsidRPr="00A67359">
        <w:t xml:space="preserve">). </w:t>
      </w:r>
    </w:p>
    <w:p w14:paraId="577BA7CD" w14:textId="77777777" w:rsidR="00813078" w:rsidRPr="00813078" w:rsidRDefault="00813078" w:rsidP="00A67359">
      <w:pPr>
        <w:jc w:val="both"/>
        <w:rPr>
          <w:sz w:val="12"/>
          <w:szCs w:val="12"/>
        </w:rPr>
      </w:pPr>
    </w:p>
    <w:p w14:paraId="32A7F087" w14:textId="6D342E54" w:rsidR="00A67359" w:rsidRDefault="00A67359" w:rsidP="00A823F8">
      <w:pPr>
        <w:jc w:val="both"/>
      </w:pPr>
      <w:r w:rsidRPr="00A67359">
        <w:t>Patients with β-thalassemia are more likely to experience unfavorable effects on hematopoiesis due to el</w:t>
      </w:r>
      <w:r w:rsidR="00A823F8">
        <w:t>evated cytokine levels, (21). A connection</w:t>
      </w:r>
      <w:r w:rsidR="00A823F8" w:rsidRPr="00A823F8">
        <w:t xml:space="preserve"> between the physiological production of particular cytokines and their genotype [22, 23, 24].</w:t>
      </w:r>
    </w:p>
    <w:p w14:paraId="6D596816" w14:textId="21EBEE29" w:rsidR="00813078" w:rsidRPr="00813078" w:rsidRDefault="00A823F8" w:rsidP="00A823F8">
      <w:pPr>
        <w:tabs>
          <w:tab w:val="left" w:pos="3816"/>
        </w:tabs>
        <w:jc w:val="both"/>
        <w:rPr>
          <w:sz w:val="12"/>
          <w:szCs w:val="12"/>
        </w:rPr>
      </w:pPr>
      <w:r>
        <w:rPr>
          <w:sz w:val="12"/>
          <w:szCs w:val="12"/>
        </w:rPr>
        <w:tab/>
      </w:r>
    </w:p>
    <w:bookmarkEnd w:id="1"/>
    <w:bookmarkEnd w:id="2"/>
    <w:p w14:paraId="32D9D03A" w14:textId="77777777" w:rsidR="006458BE" w:rsidRPr="00AF16C9" w:rsidRDefault="006458BE" w:rsidP="00AF16C9">
      <w:pPr>
        <w:jc w:val="both"/>
        <w:rPr>
          <w:rStyle w:val="apple-style-span"/>
          <w:bCs/>
          <w:color w:val="000000"/>
          <w:sz w:val="12"/>
          <w:szCs w:val="12"/>
          <w:lang w:val="pt-BR"/>
        </w:rPr>
      </w:pPr>
    </w:p>
    <w:p w14:paraId="6442C28F" w14:textId="77777777" w:rsidR="00357F2B" w:rsidRDefault="00357F2B" w:rsidP="006458BE">
      <w:pPr>
        <w:jc w:val="both"/>
        <w:rPr>
          <w:rStyle w:val="apple-style-span"/>
          <w:b/>
          <w:color w:val="000000"/>
          <w:sz w:val="22"/>
          <w:szCs w:val="22"/>
          <w:lang w:val="pt-BR"/>
        </w:rPr>
      </w:pPr>
      <w:bookmarkStart w:id="3" w:name="_Hlk78354977"/>
    </w:p>
    <w:p w14:paraId="702EC442" w14:textId="77777777" w:rsidR="00357F2B" w:rsidRDefault="00357F2B" w:rsidP="006458BE">
      <w:pPr>
        <w:jc w:val="both"/>
        <w:rPr>
          <w:rStyle w:val="apple-style-span"/>
          <w:b/>
          <w:color w:val="000000"/>
          <w:sz w:val="22"/>
          <w:szCs w:val="22"/>
          <w:lang w:val="pt-BR"/>
        </w:rPr>
      </w:pPr>
    </w:p>
    <w:p w14:paraId="4D2C0FC9" w14:textId="77777777" w:rsidR="00357F2B" w:rsidRDefault="00357F2B" w:rsidP="006458BE">
      <w:pPr>
        <w:jc w:val="both"/>
        <w:rPr>
          <w:rStyle w:val="apple-style-span"/>
          <w:b/>
          <w:color w:val="000000"/>
          <w:sz w:val="22"/>
          <w:szCs w:val="22"/>
          <w:lang w:val="pt-BR"/>
        </w:rPr>
      </w:pPr>
    </w:p>
    <w:p w14:paraId="2E667CF2" w14:textId="77777777" w:rsidR="00357F2B" w:rsidRDefault="00357F2B" w:rsidP="006458BE">
      <w:pPr>
        <w:jc w:val="both"/>
        <w:rPr>
          <w:rStyle w:val="apple-style-span"/>
          <w:b/>
          <w:color w:val="000000"/>
          <w:sz w:val="22"/>
          <w:szCs w:val="22"/>
          <w:lang w:val="pt-BR"/>
        </w:rPr>
      </w:pPr>
    </w:p>
    <w:p w14:paraId="2CD40B1C" w14:textId="77777777" w:rsidR="00357F2B" w:rsidRDefault="00357F2B" w:rsidP="006458BE">
      <w:pPr>
        <w:jc w:val="both"/>
        <w:rPr>
          <w:rStyle w:val="apple-style-span"/>
          <w:b/>
          <w:color w:val="000000"/>
          <w:sz w:val="22"/>
          <w:szCs w:val="22"/>
          <w:lang w:val="pt-BR"/>
        </w:rPr>
      </w:pPr>
    </w:p>
    <w:p w14:paraId="5DBAF7AE" w14:textId="77777777" w:rsidR="00357F2B" w:rsidRDefault="00357F2B" w:rsidP="006458BE">
      <w:pPr>
        <w:jc w:val="both"/>
        <w:rPr>
          <w:rStyle w:val="apple-style-span"/>
          <w:b/>
          <w:color w:val="000000"/>
          <w:sz w:val="22"/>
          <w:szCs w:val="22"/>
          <w:lang w:val="pt-BR"/>
        </w:rPr>
      </w:pPr>
    </w:p>
    <w:p w14:paraId="385DA146" w14:textId="0021D6FD" w:rsidR="00AF16C9" w:rsidRPr="00AF16C9" w:rsidRDefault="00AF16C9" w:rsidP="006458BE">
      <w:pPr>
        <w:jc w:val="both"/>
        <w:rPr>
          <w:rStyle w:val="apple-style-span"/>
          <w:bCs/>
          <w:color w:val="000000"/>
          <w:sz w:val="22"/>
          <w:szCs w:val="22"/>
          <w:lang w:val="pt-BR"/>
        </w:rPr>
      </w:pPr>
      <w:r>
        <w:rPr>
          <w:rStyle w:val="apple-style-span"/>
          <w:b/>
          <w:color w:val="000000"/>
          <w:sz w:val="22"/>
          <w:szCs w:val="22"/>
          <w:lang w:val="pt-BR"/>
        </w:rPr>
        <w:lastRenderedPageBreak/>
        <w:t xml:space="preserve">4- CONCLUSION </w:t>
      </w:r>
    </w:p>
    <w:p w14:paraId="7B00C5BB" w14:textId="77777777" w:rsidR="00AF16C9" w:rsidRPr="00AF16C9" w:rsidRDefault="00AF16C9" w:rsidP="006458BE">
      <w:pPr>
        <w:jc w:val="both"/>
        <w:rPr>
          <w:rStyle w:val="apple-style-span"/>
          <w:b/>
          <w:color w:val="000000"/>
          <w:sz w:val="12"/>
          <w:szCs w:val="12"/>
          <w:lang w:val="pt-BR"/>
        </w:rPr>
      </w:pPr>
    </w:p>
    <w:p w14:paraId="3FA958E7" w14:textId="77777777" w:rsidR="00AF16C9" w:rsidRDefault="00AF16C9" w:rsidP="00AF16C9">
      <w:pPr>
        <w:jc w:val="both"/>
      </w:pPr>
      <w:r w:rsidRPr="00A67359">
        <w:t xml:space="preserve">The present study </w:t>
      </w:r>
      <w:r w:rsidRPr="00AF16C9">
        <w:t xml:space="preserve">concludes </w:t>
      </w:r>
      <w:r w:rsidRPr="00A67359">
        <w:t>that a significant rise in serum ferritin, IL-6 and IFN-</w:t>
      </w:r>
      <w:r w:rsidRPr="00A67359">
        <w:rPr>
          <w:rFonts w:hint="eastAsia"/>
        </w:rPr>
        <w:t>γ</w:t>
      </w:r>
      <w:r w:rsidRPr="00A67359">
        <w:t xml:space="preserve"> in  βeta thalassemia patients as compare with α thalassemia patients.</w:t>
      </w:r>
      <w:r>
        <w:t xml:space="preserve"> </w:t>
      </w:r>
    </w:p>
    <w:p w14:paraId="5EC47D3E" w14:textId="77777777" w:rsidR="00AF16C9" w:rsidRPr="00813078" w:rsidRDefault="00AF16C9" w:rsidP="00AF16C9">
      <w:pPr>
        <w:jc w:val="both"/>
        <w:rPr>
          <w:sz w:val="12"/>
          <w:szCs w:val="12"/>
        </w:rPr>
      </w:pPr>
    </w:p>
    <w:p w14:paraId="67AE85D3" w14:textId="051C125D" w:rsidR="00AF16C9" w:rsidRPr="00AF16C9" w:rsidRDefault="00AF16C9" w:rsidP="00AF16C9">
      <w:pPr>
        <w:jc w:val="both"/>
        <w:rPr>
          <w:rStyle w:val="apple-style-span"/>
          <w:bCs/>
          <w:color w:val="000000"/>
          <w:lang w:val="pt-BR"/>
        </w:rPr>
      </w:pPr>
      <w:r w:rsidRPr="00A67359">
        <w:t xml:space="preserve">The present study </w:t>
      </w:r>
      <w:r w:rsidRPr="00AF16C9">
        <w:t>recommends</w:t>
      </w:r>
      <w:r>
        <w:t xml:space="preserve"> the d</w:t>
      </w:r>
      <w:r w:rsidRPr="00A67359">
        <w:t>etermination of other cytokines which related to immune system of thalassemia patients such as IL=17 and IL-40.</w:t>
      </w:r>
      <w:r>
        <w:t xml:space="preserve"> </w:t>
      </w:r>
    </w:p>
    <w:p w14:paraId="2D50E943" w14:textId="77777777" w:rsidR="00AF16C9" w:rsidRPr="00AF16C9" w:rsidRDefault="00AF16C9" w:rsidP="006458BE">
      <w:pPr>
        <w:jc w:val="both"/>
        <w:rPr>
          <w:rStyle w:val="apple-style-span"/>
          <w:b/>
          <w:color w:val="000000"/>
          <w:sz w:val="12"/>
          <w:szCs w:val="12"/>
          <w:lang w:val="pt-BR"/>
        </w:rPr>
      </w:pPr>
    </w:p>
    <w:p w14:paraId="1411819D" w14:textId="77777777" w:rsidR="00AF16C9" w:rsidRPr="00CC319C" w:rsidRDefault="00AF16C9" w:rsidP="006458BE">
      <w:pPr>
        <w:jc w:val="both"/>
        <w:rPr>
          <w:rStyle w:val="apple-style-span"/>
          <w:b/>
          <w:color w:val="000000"/>
          <w:sz w:val="12"/>
          <w:szCs w:val="12"/>
          <w:lang w:val="pt-BR"/>
        </w:rPr>
      </w:pPr>
    </w:p>
    <w:p w14:paraId="6916180F" w14:textId="2A768F6F" w:rsidR="006458BE" w:rsidRPr="00CC319C" w:rsidRDefault="006458BE" w:rsidP="006458BE">
      <w:pPr>
        <w:jc w:val="both"/>
        <w:rPr>
          <w:rStyle w:val="apple-style-span"/>
          <w:b/>
          <w:color w:val="000000"/>
          <w:sz w:val="22"/>
          <w:szCs w:val="22"/>
          <w:lang w:val="pt-BR"/>
        </w:rPr>
      </w:pPr>
      <w:r w:rsidRPr="00CC319C">
        <w:rPr>
          <w:rStyle w:val="apple-style-span"/>
          <w:b/>
          <w:color w:val="000000"/>
          <w:sz w:val="22"/>
          <w:szCs w:val="22"/>
          <w:lang w:val="pt-BR"/>
        </w:rPr>
        <w:t>REFERENCES</w:t>
      </w:r>
    </w:p>
    <w:p w14:paraId="0FA5F33C" w14:textId="77777777" w:rsidR="006458BE" w:rsidRPr="00CC319C" w:rsidRDefault="006458BE" w:rsidP="006458BE">
      <w:pPr>
        <w:jc w:val="both"/>
        <w:rPr>
          <w:rStyle w:val="apple-style-span"/>
          <w:b/>
          <w:color w:val="000000"/>
          <w:sz w:val="12"/>
          <w:szCs w:val="12"/>
          <w:lang w:val="pt-BR"/>
        </w:rPr>
      </w:pPr>
    </w:p>
    <w:bookmarkEnd w:id="3"/>
    <w:p w14:paraId="6C4EBE13" w14:textId="77777777" w:rsidR="00CC319C" w:rsidRDefault="00CC319C" w:rsidP="00CC319C">
      <w:pPr>
        <w:numPr>
          <w:ilvl w:val="0"/>
          <w:numId w:val="2"/>
        </w:numPr>
        <w:autoSpaceDE w:val="0"/>
        <w:autoSpaceDN w:val="0"/>
        <w:adjustRightInd w:val="0"/>
        <w:spacing w:after="160"/>
        <w:jc w:val="both"/>
        <w:rPr>
          <w:rFonts w:asciiTheme="majorBidi" w:eastAsia="Calibri" w:hAnsiTheme="majorBidi" w:cstheme="majorBidi"/>
          <w:color w:val="000000"/>
        </w:rPr>
      </w:pPr>
      <w:r>
        <w:t xml:space="preserve">Rund, D., &amp; Rachmilewitz, E. (2001). Pathophysiology of alpha and beta thalassemia. </w:t>
      </w:r>
      <w:r>
        <w:rPr>
          <w:rStyle w:val="Emphasis"/>
        </w:rPr>
        <w:t>Seminars in Hematology, 38</w:t>
      </w:r>
      <w:r>
        <w:t>(4), 343–349.</w:t>
      </w:r>
      <w:r>
        <w:rPr>
          <w:rFonts w:asciiTheme="majorBidi" w:eastAsia="Calibri" w:hAnsiTheme="majorBidi" w:cstheme="majorBidi"/>
          <w:color w:val="000000"/>
        </w:rPr>
        <w:t xml:space="preserve"> </w:t>
      </w:r>
    </w:p>
    <w:p w14:paraId="481DD460" w14:textId="77777777" w:rsidR="00CC319C"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t xml:space="preserve">Riaz, H., Riaz, T., Khan, M. U., Aziz, S., et al. (2011). Serum ferritin levels, sociodemographic factors and desferrioxamine therapy in multi-transfused thalassemia major patients at a government tertiary care hospital of Karachi, Pakistan. </w:t>
      </w:r>
      <w:r>
        <w:rPr>
          <w:rStyle w:val="Emphasis"/>
        </w:rPr>
        <w:t>BMC Research Notes, 4</w:t>
      </w:r>
      <w:r>
        <w:t>, 287–292.</w:t>
      </w:r>
      <w:r>
        <w:rPr>
          <w:rFonts w:asciiTheme="majorBidi" w:eastAsia="Calibri" w:hAnsiTheme="majorBidi" w:cstheme="majorBidi"/>
          <w:color w:val="000000"/>
        </w:rPr>
        <w:t xml:space="preserve"> </w:t>
      </w:r>
    </w:p>
    <w:p w14:paraId="346E01B9" w14:textId="77777777" w:rsidR="00CC319C"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t xml:space="preserve">Younus, Z. M., Alhially, Y. A. H., &amp; Dallal Bashi, A. Y. (2012). Evaluation of conventional renal function tests in β-thalassemia major patients in Nineveh province. </w:t>
      </w:r>
      <w:r>
        <w:rPr>
          <w:rStyle w:val="Emphasis"/>
        </w:rPr>
        <w:t>Tikrit Journal of Pharmaceutical Sciences, 8</w:t>
      </w:r>
      <w:r>
        <w:t>(1), 6–14.</w:t>
      </w:r>
      <w:r>
        <w:rPr>
          <w:rFonts w:asciiTheme="majorBidi" w:eastAsia="Calibri" w:hAnsiTheme="majorBidi" w:cstheme="majorBidi"/>
          <w:color w:val="000000"/>
        </w:rPr>
        <w:t xml:space="preserve"> </w:t>
      </w:r>
    </w:p>
    <w:p w14:paraId="5A6F9E81" w14:textId="77777777" w:rsidR="00CC319C"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t xml:space="preserve">Baker, A. S., Marbut, M. M., &amp; Al-Ani, A. H. (2019). Study the relationship between liver functions and IL-10 in female thalassemia patients in Kirkuk city. </w:t>
      </w:r>
      <w:r>
        <w:rPr>
          <w:rStyle w:val="Emphasis"/>
        </w:rPr>
        <w:t>Tikrit Journal of Pure Sciences, 24</w:t>
      </w:r>
      <w:r>
        <w:t xml:space="preserve">(2), 1–4. </w:t>
      </w:r>
      <w:hyperlink r:id="rId14" w:history="1">
        <w:r w:rsidRPr="00B46C13">
          <w:rPr>
            <w:rStyle w:val="Hyperlink"/>
          </w:rPr>
          <w:t>https://doi.org/10.25130/tips.24.2019.021</w:t>
        </w:r>
      </w:hyperlink>
      <w:r>
        <w:rPr>
          <w:rFonts w:asciiTheme="majorBidi" w:eastAsia="Calibri" w:hAnsiTheme="majorBidi" w:cstheme="majorBidi"/>
          <w:color w:val="000000"/>
        </w:rPr>
        <w:t xml:space="preserve"> </w:t>
      </w:r>
    </w:p>
    <w:p w14:paraId="5CBC9AE5" w14:textId="77777777" w:rsidR="00CC319C"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t xml:space="preserve">Ayyash, H., &amp; Sirdah, M. (2018). Hematological and biochemical evaluation of β-thalassemia major (βTM) patients in Gaza Strip: A cross-sectional study. </w:t>
      </w:r>
      <w:r>
        <w:rPr>
          <w:rStyle w:val="Emphasis"/>
        </w:rPr>
        <w:t>International Journal of Health Sciences, 12</w:t>
      </w:r>
      <w:r>
        <w:t>(6), 18–24.</w:t>
      </w:r>
      <w:r>
        <w:rPr>
          <w:rFonts w:asciiTheme="majorBidi" w:eastAsia="Calibri" w:hAnsiTheme="majorBidi" w:cstheme="majorBidi"/>
          <w:color w:val="000000"/>
        </w:rPr>
        <w:t xml:space="preserve"> </w:t>
      </w:r>
    </w:p>
    <w:p w14:paraId="524D4449" w14:textId="77777777" w:rsidR="00CC319C"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t xml:space="preserve">Arbab, G. O. L. N. A. Z., Sobhani, A., Kordi, M. R., &amp; Gaeini, A. A. (2018). Effect of concurrent training on inflammatory markers of Beta Thalassemia Major patients. </w:t>
      </w:r>
      <w:r>
        <w:rPr>
          <w:rStyle w:val="Emphasis"/>
        </w:rPr>
        <w:t>Horizon Medical Journal, 22</w:t>
      </w:r>
      <w:r>
        <w:t xml:space="preserve">(1), 1–11. </w:t>
      </w:r>
      <w:hyperlink r:id="rId15" w:history="1">
        <w:r w:rsidRPr="00B46C13">
          <w:rPr>
            <w:rStyle w:val="Hyperlink"/>
          </w:rPr>
          <w:t>https://doi.org/10.29252/hmj.22.1.1</w:t>
        </w:r>
      </w:hyperlink>
      <w:r>
        <w:rPr>
          <w:rFonts w:asciiTheme="majorBidi" w:eastAsia="Calibri" w:hAnsiTheme="majorBidi" w:cstheme="majorBidi"/>
          <w:color w:val="000000"/>
        </w:rPr>
        <w:t xml:space="preserve"> </w:t>
      </w:r>
    </w:p>
    <w:p w14:paraId="4D8C77A9" w14:textId="77777777" w:rsidR="00A84C4D"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t xml:space="preserve">Deeb, M. M., Dawoud, A. A., El-Hawy, M. A., Wasel, Y. F., &amp; El Sayed, A. E. (2019). Study of adipocytokines (visfatin and resistin) levels in children with β-thalassemia major and intermedia. </w:t>
      </w:r>
      <w:r>
        <w:rPr>
          <w:rStyle w:val="Emphasis"/>
        </w:rPr>
        <w:t>Menoufia Medical Journal, 32</w:t>
      </w:r>
      <w:r>
        <w:t>(3), 1051.</w:t>
      </w:r>
      <w:r w:rsidR="00A84C4D">
        <w:rPr>
          <w:rFonts w:asciiTheme="majorBidi" w:eastAsia="Calibri" w:hAnsiTheme="majorBidi" w:cstheme="majorBidi"/>
          <w:color w:val="000000"/>
        </w:rPr>
        <w:t xml:space="preserve"> </w:t>
      </w:r>
    </w:p>
    <w:p w14:paraId="55FD04A0" w14:textId="77777777" w:rsidR="00500A02"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t xml:space="preserve">Harbi, N. S., Jawad, A. H., &amp; Alsalman, F. K. (2020). Evaluation of adipokines concentration in Iraqi patients with major and minor beta-thalassemia. </w:t>
      </w:r>
      <w:r>
        <w:rPr>
          <w:rStyle w:val="Emphasis"/>
        </w:rPr>
        <w:t>Reports of Biochemistry &amp; Molecular Biology, 9</w:t>
      </w:r>
      <w:r>
        <w:t xml:space="preserve">(2), 209–215. </w:t>
      </w:r>
      <w:hyperlink r:id="rId16" w:history="1">
        <w:r w:rsidR="00500A02" w:rsidRPr="00B46C13">
          <w:rPr>
            <w:rStyle w:val="Hyperlink"/>
          </w:rPr>
          <w:t>https://doi.org/10.29252/rbmb.9.2.209</w:t>
        </w:r>
      </w:hyperlink>
      <w:r w:rsidR="00500A02">
        <w:rPr>
          <w:rFonts w:asciiTheme="majorBidi" w:eastAsia="Calibri" w:hAnsiTheme="majorBidi" w:cstheme="majorBidi"/>
          <w:color w:val="000000"/>
        </w:rPr>
        <w:t xml:space="preserve"> </w:t>
      </w:r>
    </w:p>
    <w:p w14:paraId="5B134E03" w14:textId="77777777" w:rsidR="00500A02"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t xml:space="preserve">Ghanem, S. E., Abdel-Samiee, M., Torky, M. H., et al. (2020). Role of resistin, IL-6 and NH2-terminal portion proBNP in the pathogenesis of cardiac disease in type 2 diabetes mellitus. </w:t>
      </w:r>
      <w:r>
        <w:rPr>
          <w:rStyle w:val="Emphasis"/>
        </w:rPr>
        <w:t>BMJ Open Diabetes Research and Care, 8</w:t>
      </w:r>
      <w:r>
        <w:t xml:space="preserve">(1), e001206. </w:t>
      </w:r>
      <w:hyperlink r:id="rId17" w:history="1">
        <w:r w:rsidR="00500A02" w:rsidRPr="00B46C13">
          <w:rPr>
            <w:rStyle w:val="Hyperlink"/>
          </w:rPr>
          <w:t>https://doi.org/10.1136/bmjdrc-2020-001206</w:t>
        </w:r>
      </w:hyperlink>
      <w:r w:rsidR="00500A02">
        <w:rPr>
          <w:rFonts w:asciiTheme="majorBidi" w:eastAsia="Calibri" w:hAnsiTheme="majorBidi" w:cstheme="majorBidi"/>
          <w:color w:val="000000"/>
        </w:rPr>
        <w:t xml:space="preserve"> </w:t>
      </w:r>
    </w:p>
    <w:p w14:paraId="116E83D1" w14:textId="77777777" w:rsidR="00500A02"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t xml:space="preserve">Merli, P., Quintarelli, C., Strocchio, L., &amp; Locatelli, F. (2021). The role of interferon-gamma and its signaling pathway in pediatric hematological disorders. </w:t>
      </w:r>
      <w:r>
        <w:rPr>
          <w:rStyle w:val="Emphasis"/>
        </w:rPr>
        <w:t>Pediatric Blood &amp; Cancer, 68</w:t>
      </w:r>
      <w:r>
        <w:t xml:space="preserve">, e28900. </w:t>
      </w:r>
      <w:hyperlink r:id="rId18" w:tgtFrame="_new" w:history="1">
        <w:r>
          <w:rPr>
            <w:rStyle w:val="Hyperlink"/>
          </w:rPr>
          <w:t>https://doi.org/10.1002/pbc.28900</w:t>
        </w:r>
      </w:hyperlink>
      <w:r w:rsidR="00500A02">
        <w:rPr>
          <w:rFonts w:asciiTheme="majorBidi" w:eastAsia="Calibri" w:hAnsiTheme="majorBidi" w:cstheme="majorBidi"/>
          <w:color w:val="000000"/>
        </w:rPr>
        <w:t xml:space="preserve"> </w:t>
      </w:r>
    </w:p>
    <w:p w14:paraId="164D5D53" w14:textId="77777777" w:rsidR="00500A02"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t xml:space="preserve">Morales-Mantilla, D. E., &amp; King, K. Y. (2018). The role of interferon-gamma in hematopoietic stem cell development, homeostasis, and disease. </w:t>
      </w:r>
      <w:r>
        <w:rPr>
          <w:rStyle w:val="Emphasis"/>
        </w:rPr>
        <w:t>Current Stem Cell Reports, 4</w:t>
      </w:r>
      <w:r>
        <w:t>(3), 264–271.</w:t>
      </w:r>
      <w:r w:rsidR="00500A02">
        <w:rPr>
          <w:rFonts w:asciiTheme="majorBidi" w:eastAsia="Calibri" w:hAnsiTheme="majorBidi" w:cstheme="majorBidi"/>
          <w:color w:val="000000"/>
        </w:rPr>
        <w:t xml:space="preserve"> </w:t>
      </w:r>
    </w:p>
    <w:p w14:paraId="2A36055A" w14:textId="77777777" w:rsidR="00500A02"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t xml:space="preserve">Groom, J. R., &amp; Luster, A. D. (2011). CXCR3 ligands: Redundant, collaborative and antagonistic functions. </w:t>
      </w:r>
      <w:r>
        <w:rPr>
          <w:rStyle w:val="Emphasis"/>
        </w:rPr>
        <w:t>Immunology &amp; Cell Biology, 89</w:t>
      </w:r>
      <w:r>
        <w:t>(2), 207–215.</w:t>
      </w:r>
      <w:r w:rsidR="00500A02">
        <w:rPr>
          <w:rFonts w:asciiTheme="majorBidi" w:eastAsia="Calibri" w:hAnsiTheme="majorBidi" w:cstheme="majorBidi"/>
          <w:color w:val="000000"/>
        </w:rPr>
        <w:t xml:space="preserve"> </w:t>
      </w:r>
    </w:p>
    <w:p w14:paraId="5983B169" w14:textId="77777777" w:rsidR="00500A02"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t xml:space="preserve">de Bruin, A. M., Voermans, C., &amp; Nolte, M. A. (2014). Impact of interferon-gamma on hematopoiesis. </w:t>
      </w:r>
      <w:r>
        <w:rPr>
          <w:rStyle w:val="Emphasis"/>
        </w:rPr>
        <w:t>Blood, 124</w:t>
      </w:r>
      <w:r>
        <w:t>(16), 2479–2486.</w:t>
      </w:r>
      <w:r w:rsidR="00500A02">
        <w:rPr>
          <w:rFonts w:asciiTheme="majorBidi" w:eastAsia="Calibri" w:hAnsiTheme="majorBidi" w:cstheme="majorBidi"/>
          <w:color w:val="000000"/>
        </w:rPr>
        <w:t xml:space="preserve"> </w:t>
      </w:r>
    </w:p>
    <w:p w14:paraId="25146C63" w14:textId="77777777" w:rsidR="00500A02"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t xml:space="preserve">Yousefian, S., Aliabad, G. M., Saleh, R., &amp; Khedmati, M. (2022). Association of body mass index and serum ferritin level in pediatrics with beta-thalassemia major disease. </w:t>
      </w:r>
      <w:r>
        <w:rPr>
          <w:rStyle w:val="Emphasis"/>
        </w:rPr>
        <w:t>Iranian Journal of Pediatric Hematology &amp; Oncology, 12</w:t>
      </w:r>
      <w:r>
        <w:t>(1).</w:t>
      </w:r>
      <w:r w:rsidR="00500A02">
        <w:rPr>
          <w:rFonts w:asciiTheme="majorBidi" w:eastAsia="Calibri" w:hAnsiTheme="majorBidi" w:cstheme="majorBidi"/>
          <w:color w:val="000000"/>
        </w:rPr>
        <w:t xml:space="preserve"> </w:t>
      </w:r>
    </w:p>
    <w:p w14:paraId="606DE4D7" w14:textId="77777777" w:rsidR="00500A02"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lastRenderedPageBreak/>
        <w:t xml:space="preserve">Horowitz, J., Leonard, D., Smith, J., &amp; Brotman, S. (1992). Postsplenectomy leukocytosis: Physiologic or an indicator of infection? </w:t>
      </w:r>
      <w:r>
        <w:rPr>
          <w:rStyle w:val="Emphasis"/>
        </w:rPr>
        <w:t>The American Surgeon, 58</w:t>
      </w:r>
      <w:r>
        <w:t xml:space="preserve">, 387–390. </w:t>
      </w:r>
      <w:hyperlink r:id="rId19" w:tgtFrame="_new" w:history="1">
        <w:r>
          <w:rPr>
            <w:rStyle w:val="Hyperlink"/>
          </w:rPr>
          <w:t>https://doi.org/10.24875/ciru.21000246</w:t>
        </w:r>
      </w:hyperlink>
      <w:r w:rsidR="00500A02">
        <w:rPr>
          <w:rFonts w:asciiTheme="majorBidi" w:eastAsia="Calibri" w:hAnsiTheme="majorBidi" w:cstheme="majorBidi"/>
          <w:color w:val="000000"/>
        </w:rPr>
        <w:t xml:space="preserve"> </w:t>
      </w:r>
    </w:p>
    <w:p w14:paraId="430AE08C" w14:textId="77777777" w:rsidR="00500A02"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t xml:space="preserve">Khawaji, M. M., Hazzazi, A. A., Ageeli, M. H., et al. (2020). Clinical and hematological features among β-thalassemia major patients in Jazan region: A hospital-based study. </w:t>
      </w:r>
      <w:r>
        <w:rPr>
          <w:rStyle w:val="Emphasis"/>
        </w:rPr>
        <w:t>Journal of Family Medicine and Primary Care, 9</w:t>
      </w:r>
      <w:r>
        <w:t xml:space="preserve">, 412–417. </w:t>
      </w:r>
      <w:hyperlink r:id="rId20" w:history="1">
        <w:r w:rsidR="00500A02" w:rsidRPr="00B46C13">
          <w:rPr>
            <w:rStyle w:val="Hyperlink"/>
          </w:rPr>
          <w:t>https://doi.org/10.4103/jfmpc.jfmpc_1007_19</w:t>
        </w:r>
      </w:hyperlink>
      <w:r w:rsidR="00500A02">
        <w:rPr>
          <w:rFonts w:asciiTheme="majorBidi" w:eastAsia="Calibri" w:hAnsiTheme="majorBidi" w:cstheme="majorBidi"/>
          <w:color w:val="000000"/>
        </w:rPr>
        <w:t xml:space="preserve"> </w:t>
      </w:r>
    </w:p>
    <w:p w14:paraId="33E44B53" w14:textId="77777777" w:rsidR="00500A02"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t xml:space="preserve">Roshdy, M. N., Harfoush, R. A., Hamed, N. A., &amp; Morsi, M. G. (2013). Quantitative estimation of interferon-gamma levels among Egyptian polytransfused haematology cases. </w:t>
      </w:r>
      <w:r>
        <w:rPr>
          <w:rStyle w:val="Emphasis"/>
        </w:rPr>
        <w:t>Eastern Mediterranean Health Journal, 19</w:t>
      </w:r>
      <w:r>
        <w:t>(5), 490–494.</w:t>
      </w:r>
      <w:r w:rsidR="00500A02">
        <w:rPr>
          <w:rFonts w:asciiTheme="majorBidi" w:eastAsia="Calibri" w:hAnsiTheme="majorBidi" w:cstheme="majorBidi"/>
          <w:color w:val="000000"/>
        </w:rPr>
        <w:t xml:space="preserve"> </w:t>
      </w:r>
    </w:p>
    <w:p w14:paraId="0EC67437" w14:textId="77777777" w:rsidR="00500A02"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t xml:space="preserve">Consolini, R., et al. (2001). Immunological evaluation of patients with beta-thalassemia major. </w:t>
      </w:r>
      <w:r>
        <w:rPr>
          <w:rStyle w:val="Emphasis"/>
        </w:rPr>
        <w:t>Acta Haematologica, 105</w:t>
      </w:r>
      <w:r>
        <w:t>, 7–12.</w:t>
      </w:r>
      <w:r w:rsidR="00500A02">
        <w:rPr>
          <w:rFonts w:asciiTheme="majorBidi" w:eastAsia="Calibri" w:hAnsiTheme="majorBidi" w:cstheme="majorBidi"/>
          <w:color w:val="000000"/>
        </w:rPr>
        <w:t xml:space="preserve"> </w:t>
      </w:r>
    </w:p>
    <w:p w14:paraId="2A3308E9" w14:textId="77777777" w:rsidR="00500A02"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t xml:space="preserve">El-Beshlawy, A., &amp; Youssry, I. (2009). Prevention of hemoglobinopathies in Egypt. </w:t>
      </w:r>
      <w:r>
        <w:rPr>
          <w:rStyle w:val="Emphasis"/>
        </w:rPr>
        <w:t>Hemoglobin, 33</w:t>
      </w:r>
      <w:r>
        <w:t>(Suppl. 1), S14–S20.</w:t>
      </w:r>
      <w:r w:rsidR="00500A02">
        <w:rPr>
          <w:rFonts w:asciiTheme="majorBidi" w:eastAsia="Calibri" w:hAnsiTheme="majorBidi" w:cstheme="majorBidi"/>
          <w:color w:val="000000"/>
        </w:rPr>
        <w:t xml:space="preserve"> </w:t>
      </w:r>
    </w:p>
    <w:p w14:paraId="4AB46228" w14:textId="77777777" w:rsidR="00500A02"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t xml:space="preserve">Gluba-Brzózka, A., Franczyk, B., &amp; Rysz-Górzyńska, M. (2021). Pathomechanisms of immunological disturbances in thalassemia. </w:t>
      </w:r>
      <w:r>
        <w:rPr>
          <w:rStyle w:val="Emphasis"/>
        </w:rPr>
        <w:t>International Journal of Molecular Sciences, 22</w:t>
      </w:r>
      <w:r>
        <w:t xml:space="preserve">, 9677–9689. </w:t>
      </w:r>
      <w:hyperlink r:id="rId21" w:tgtFrame="_new" w:history="1">
        <w:r>
          <w:rPr>
            <w:rStyle w:val="Hyperlink"/>
          </w:rPr>
          <w:t>https://doi.org/10.3390/ijms22189677</w:t>
        </w:r>
      </w:hyperlink>
      <w:r w:rsidR="00500A02">
        <w:rPr>
          <w:rFonts w:asciiTheme="majorBidi" w:eastAsia="Calibri" w:hAnsiTheme="majorBidi" w:cstheme="majorBidi"/>
          <w:color w:val="000000"/>
        </w:rPr>
        <w:t xml:space="preserve"> </w:t>
      </w:r>
    </w:p>
    <w:p w14:paraId="7EDD7C80" w14:textId="77777777" w:rsidR="00500A02"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t xml:space="preserve">Al-Hakeim, H. K., Najm, A. H., Al-Dujaili, A. H., &amp; Maes, M. (2020). Major depression in children with transfusion-dependent thalassemia is strongly associated with the combined effects of blood transfusion rate, iron overload, and increased pro-inflammatory cytokines. </w:t>
      </w:r>
      <w:r>
        <w:rPr>
          <w:rStyle w:val="Emphasis"/>
        </w:rPr>
        <w:t>Neurotoxicity Research, 38</w:t>
      </w:r>
      <w:r>
        <w:t>(1), 228–241.</w:t>
      </w:r>
      <w:r w:rsidR="00500A02">
        <w:rPr>
          <w:rFonts w:asciiTheme="majorBidi" w:eastAsia="Calibri" w:hAnsiTheme="majorBidi" w:cstheme="majorBidi"/>
          <w:color w:val="000000"/>
        </w:rPr>
        <w:t xml:space="preserve"> </w:t>
      </w:r>
    </w:p>
    <w:p w14:paraId="464BC42C" w14:textId="77777777" w:rsidR="00500A02"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t xml:space="preserve">Naji, B. A. A. (2024). The association between cytokines (IFN-γ and IL-4) gene polymorphisms and clinical manifestations of β-thalassemia in Iraqi patients. </w:t>
      </w:r>
      <w:r>
        <w:rPr>
          <w:rStyle w:val="Emphasis"/>
        </w:rPr>
        <w:t>Naturalista Campano, 28</w:t>
      </w:r>
      <w:r>
        <w:t>(1), 1573–1578.</w:t>
      </w:r>
      <w:r w:rsidR="00500A02">
        <w:rPr>
          <w:rFonts w:asciiTheme="majorBidi" w:eastAsia="Calibri" w:hAnsiTheme="majorBidi" w:cstheme="majorBidi"/>
          <w:color w:val="000000"/>
        </w:rPr>
        <w:t xml:space="preserve"> </w:t>
      </w:r>
    </w:p>
    <w:p w14:paraId="7C6AC998" w14:textId="77777777" w:rsidR="00500A02"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t xml:space="preserve">Abd-AlKareem Abd, D., Lafta, F. M., &amp; Alwan, Y. F. (2022). The association between plasma IL-6 levels and several thalassemia-related clinical features in Iraqi patients. </w:t>
      </w:r>
      <w:r>
        <w:rPr>
          <w:rStyle w:val="Emphasis"/>
        </w:rPr>
        <w:t>International Journal of Health Sciences, 6</w:t>
      </w:r>
      <w:r>
        <w:t xml:space="preserve">(S6), 548–561. </w:t>
      </w:r>
      <w:hyperlink r:id="rId22" w:history="1">
        <w:r w:rsidR="00500A02" w:rsidRPr="00B46C13">
          <w:rPr>
            <w:rStyle w:val="Hyperlink"/>
          </w:rPr>
          <w:t>https://doi.org/10.53730/ijhs.v6nS6.10343</w:t>
        </w:r>
      </w:hyperlink>
      <w:r w:rsidR="00500A02">
        <w:rPr>
          <w:rFonts w:asciiTheme="majorBidi" w:eastAsia="Calibri" w:hAnsiTheme="majorBidi" w:cstheme="majorBidi"/>
          <w:color w:val="000000"/>
        </w:rPr>
        <w:t xml:space="preserve"> </w:t>
      </w:r>
    </w:p>
    <w:p w14:paraId="66DEB2BB" w14:textId="384993F4" w:rsidR="00CC319C" w:rsidRDefault="00CC319C" w:rsidP="00341927">
      <w:pPr>
        <w:numPr>
          <w:ilvl w:val="0"/>
          <w:numId w:val="2"/>
        </w:numPr>
        <w:autoSpaceDE w:val="0"/>
        <w:autoSpaceDN w:val="0"/>
        <w:adjustRightInd w:val="0"/>
        <w:spacing w:after="160"/>
        <w:ind w:left="284"/>
        <w:jc w:val="both"/>
        <w:rPr>
          <w:rFonts w:asciiTheme="majorBidi" w:eastAsia="Calibri" w:hAnsiTheme="majorBidi" w:cstheme="majorBidi"/>
          <w:color w:val="000000"/>
        </w:rPr>
      </w:pPr>
      <w:r>
        <w:t xml:space="preserve">Aneed, N. S., Fadhil, R. K., &amp; Kadhum, S. M. (2024). Immunological assessment of interleukin-6 and 8 in Baghdad patients with β-thalassemia. </w:t>
      </w:r>
      <w:r>
        <w:rPr>
          <w:rStyle w:val="Emphasis"/>
        </w:rPr>
        <w:t>South Eastern European Journal of Public Health</w:t>
      </w:r>
      <w:r>
        <w:t xml:space="preserve">, </w:t>
      </w:r>
      <w:r>
        <w:rPr>
          <w:rStyle w:val="Emphasis"/>
        </w:rPr>
        <w:t>10</w:t>
      </w:r>
      <w:r>
        <w:t xml:space="preserve">, 187–194. </w:t>
      </w:r>
      <w:hyperlink r:id="rId23" w:history="1">
        <w:r w:rsidR="00500A02" w:rsidRPr="00B46C13">
          <w:rPr>
            <w:rStyle w:val="Hyperlink"/>
          </w:rPr>
          <w:t>https://doi.org/10.70135/seejph.vi.1659</w:t>
        </w:r>
      </w:hyperlink>
      <w:r w:rsidR="00500A02">
        <w:rPr>
          <w:rFonts w:asciiTheme="majorBidi" w:eastAsia="Calibri" w:hAnsiTheme="majorBidi" w:cstheme="majorBidi"/>
          <w:color w:val="000000"/>
        </w:rPr>
        <w:t xml:space="preserve"> </w:t>
      </w:r>
    </w:p>
    <w:p w14:paraId="79BDCAA8" w14:textId="77777777" w:rsidR="00500A02" w:rsidRDefault="00500A02" w:rsidP="00500A02">
      <w:pPr>
        <w:autoSpaceDE w:val="0"/>
        <w:autoSpaceDN w:val="0"/>
        <w:adjustRightInd w:val="0"/>
        <w:spacing w:after="160"/>
        <w:ind w:left="360"/>
        <w:jc w:val="both"/>
        <w:rPr>
          <w:rFonts w:asciiTheme="majorBidi" w:eastAsia="Calibri" w:hAnsiTheme="majorBidi" w:cstheme="majorBidi"/>
          <w:color w:val="000000"/>
        </w:rPr>
      </w:pPr>
    </w:p>
    <w:p w14:paraId="05E22DDA" w14:textId="77777777" w:rsidR="00A823F8" w:rsidRDefault="00A823F8" w:rsidP="00500A02">
      <w:pPr>
        <w:autoSpaceDE w:val="0"/>
        <w:autoSpaceDN w:val="0"/>
        <w:adjustRightInd w:val="0"/>
        <w:spacing w:after="160"/>
        <w:ind w:left="360"/>
        <w:jc w:val="both"/>
        <w:rPr>
          <w:rFonts w:asciiTheme="majorBidi" w:eastAsia="Calibri" w:hAnsiTheme="majorBidi" w:cstheme="majorBidi"/>
          <w:color w:val="000000"/>
        </w:rPr>
      </w:pPr>
    </w:p>
    <w:p w14:paraId="5105B5DF" w14:textId="77777777" w:rsidR="00A823F8" w:rsidRDefault="00A823F8" w:rsidP="00500A02">
      <w:pPr>
        <w:autoSpaceDE w:val="0"/>
        <w:autoSpaceDN w:val="0"/>
        <w:adjustRightInd w:val="0"/>
        <w:spacing w:after="160"/>
        <w:ind w:left="360"/>
        <w:jc w:val="both"/>
        <w:rPr>
          <w:rFonts w:asciiTheme="majorBidi" w:eastAsia="Calibri" w:hAnsiTheme="majorBidi" w:cstheme="majorBidi"/>
          <w:color w:val="000000"/>
        </w:rPr>
      </w:pPr>
    </w:p>
    <w:p w14:paraId="631F1642" w14:textId="77777777" w:rsidR="00A823F8" w:rsidRDefault="00A823F8" w:rsidP="00500A02">
      <w:pPr>
        <w:autoSpaceDE w:val="0"/>
        <w:autoSpaceDN w:val="0"/>
        <w:adjustRightInd w:val="0"/>
        <w:spacing w:after="160"/>
        <w:ind w:left="360"/>
        <w:jc w:val="both"/>
        <w:rPr>
          <w:rFonts w:asciiTheme="majorBidi" w:eastAsia="Calibri" w:hAnsiTheme="majorBidi" w:cstheme="majorBidi"/>
          <w:color w:val="000000"/>
        </w:rPr>
      </w:pPr>
    </w:p>
    <w:p w14:paraId="3AA5D18C" w14:textId="77777777" w:rsidR="00A823F8" w:rsidRDefault="00A823F8" w:rsidP="00500A02">
      <w:pPr>
        <w:autoSpaceDE w:val="0"/>
        <w:autoSpaceDN w:val="0"/>
        <w:adjustRightInd w:val="0"/>
        <w:spacing w:after="160"/>
        <w:ind w:left="360"/>
        <w:jc w:val="both"/>
        <w:rPr>
          <w:rFonts w:asciiTheme="majorBidi" w:eastAsia="Calibri" w:hAnsiTheme="majorBidi" w:cstheme="majorBidi"/>
          <w:color w:val="000000"/>
        </w:rPr>
      </w:pPr>
    </w:p>
    <w:p w14:paraId="0664AD19" w14:textId="77777777" w:rsidR="00A823F8" w:rsidRDefault="00A823F8" w:rsidP="00500A02">
      <w:pPr>
        <w:autoSpaceDE w:val="0"/>
        <w:autoSpaceDN w:val="0"/>
        <w:adjustRightInd w:val="0"/>
        <w:spacing w:after="160"/>
        <w:ind w:left="360"/>
        <w:jc w:val="both"/>
        <w:rPr>
          <w:rFonts w:asciiTheme="majorBidi" w:eastAsia="Calibri" w:hAnsiTheme="majorBidi" w:cstheme="majorBidi"/>
          <w:color w:val="000000"/>
        </w:rPr>
      </w:pPr>
    </w:p>
    <w:p w14:paraId="5F514543" w14:textId="77777777" w:rsidR="00A823F8" w:rsidRDefault="00A823F8" w:rsidP="00500A02">
      <w:pPr>
        <w:autoSpaceDE w:val="0"/>
        <w:autoSpaceDN w:val="0"/>
        <w:adjustRightInd w:val="0"/>
        <w:spacing w:after="160"/>
        <w:ind w:left="360"/>
        <w:jc w:val="both"/>
        <w:rPr>
          <w:rFonts w:asciiTheme="majorBidi" w:eastAsia="Calibri" w:hAnsiTheme="majorBidi" w:cstheme="majorBidi"/>
          <w:color w:val="000000"/>
        </w:rPr>
      </w:pPr>
    </w:p>
    <w:p w14:paraId="4BDB097C" w14:textId="77777777" w:rsidR="00A823F8" w:rsidRDefault="00A823F8" w:rsidP="00500A02">
      <w:pPr>
        <w:autoSpaceDE w:val="0"/>
        <w:autoSpaceDN w:val="0"/>
        <w:adjustRightInd w:val="0"/>
        <w:spacing w:after="160"/>
        <w:ind w:left="360"/>
        <w:jc w:val="both"/>
        <w:rPr>
          <w:rFonts w:asciiTheme="majorBidi" w:eastAsia="Calibri" w:hAnsiTheme="majorBidi" w:cstheme="majorBidi"/>
          <w:color w:val="000000"/>
        </w:rPr>
      </w:pPr>
    </w:p>
    <w:p w14:paraId="2D07B456" w14:textId="77777777" w:rsidR="00A823F8" w:rsidRDefault="00A823F8" w:rsidP="00500A02">
      <w:pPr>
        <w:autoSpaceDE w:val="0"/>
        <w:autoSpaceDN w:val="0"/>
        <w:adjustRightInd w:val="0"/>
        <w:spacing w:after="160"/>
        <w:ind w:left="360"/>
        <w:jc w:val="both"/>
        <w:rPr>
          <w:rFonts w:asciiTheme="majorBidi" w:eastAsia="Calibri" w:hAnsiTheme="majorBidi" w:cstheme="majorBidi"/>
          <w:color w:val="000000"/>
        </w:rPr>
      </w:pPr>
    </w:p>
    <w:p w14:paraId="1B9E1C5D" w14:textId="77777777" w:rsidR="00A823F8" w:rsidRDefault="00A823F8" w:rsidP="00500A02">
      <w:pPr>
        <w:autoSpaceDE w:val="0"/>
        <w:autoSpaceDN w:val="0"/>
        <w:adjustRightInd w:val="0"/>
        <w:spacing w:after="160"/>
        <w:ind w:left="360"/>
        <w:jc w:val="both"/>
        <w:rPr>
          <w:rFonts w:asciiTheme="majorBidi" w:eastAsia="Calibri" w:hAnsiTheme="majorBidi" w:cstheme="majorBidi"/>
          <w:color w:val="000000"/>
        </w:rPr>
      </w:pPr>
    </w:p>
    <w:p w14:paraId="1BB2DC73" w14:textId="77777777" w:rsidR="00A823F8" w:rsidRDefault="00A823F8" w:rsidP="00500A02">
      <w:pPr>
        <w:autoSpaceDE w:val="0"/>
        <w:autoSpaceDN w:val="0"/>
        <w:adjustRightInd w:val="0"/>
        <w:spacing w:after="160"/>
        <w:ind w:left="360"/>
        <w:jc w:val="both"/>
        <w:rPr>
          <w:rFonts w:asciiTheme="majorBidi" w:eastAsia="Calibri" w:hAnsiTheme="majorBidi" w:cstheme="majorBidi"/>
          <w:color w:val="000000"/>
        </w:rPr>
      </w:pPr>
    </w:p>
    <w:p w14:paraId="37BFF840" w14:textId="77777777" w:rsidR="00A823F8" w:rsidRDefault="00A823F8" w:rsidP="00500A02">
      <w:pPr>
        <w:autoSpaceDE w:val="0"/>
        <w:autoSpaceDN w:val="0"/>
        <w:adjustRightInd w:val="0"/>
        <w:spacing w:after="160"/>
        <w:ind w:left="360"/>
        <w:jc w:val="both"/>
        <w:rPr>
          <w:rFonts w:asciiTheme="majorBidi" w:eastAsia="Calibri" w:hAnsiTheme="majorBidi" w:cstheme="majorBidi"/>
          <w:color w:val="000000"/>
        </w:rPr>
      </w:pPr>
    </w:p>
    <w:p w14:paraId="5AA38C3C" w14:textId="77777777" w:rsidR="00A823F8" w:rsidRDefault="00A823F8" w:rsidP="00500A02">
      <w:pPr>
        <w:autoSpaceDE w:val="0"/>
        <w:autoSpaceDN w:val="0"/>
        <w:adjustRightInd w:val="0"/>
        <w:spacing w:after="160"/>
        <w:ind w:left="360"/>
        <w:jc w:val="both"/>
        <w:rPr>
          <w:rFonts w:asciiTheme="majorBidi" w:eastAsia="Calibri" w:hAnsiTheme="majorBidi" w:cstheme="majorBidi"/>
          <w:color w:val="000000"/>
        </w:rPr>
      </w:pPr>
    </w:p>
    <w:p w14:paraId="4F47C398" w14:textId="77777777" w:rsidR="00A823F8" w:rsidRDefault="00A823F8" w:rsidP="00500A02">
      <w:pPr>
        <w:autoSpaceDE w:val="0"/>
        <w:autoSpaceDN w:val="0"/>
        <w:adjustRightInd w:val="0"/>
        <w:spacing w:after="160"/>
        <w:ind w:left="360"/>
        <w:jc w:val="both"/>
        <w:rPr>
          <w:rFonts w:asciiTheme="majorBidi" w:eastAsia="Calibri" w:hAnsiTheme="majorBidi" w:cstheme="majorBidi"/>
          <w:color w:val="000000"/>
        </w:rPr>
      </w:pPr>
    </w:p>
    <w:p w14:paraId="0F278A58" w14:textId="77777777" w:rsidR="00A823F8" w:rsidRDefault="00A823F8" w:rsidP="00A823F8">
      <w:pPr>
        <w:autoSpaceDE w:val="0"/>
        <w:autoSpaceDN w:val="0"/>
        <w:bidi/>
        <w:adjustRightInd w:val="0"/>
        <w:spacing w:after="160"/>
        <w:ind w:left="360"/>
        <w:rPr>
          <w:rFonts w:asciiTheme="majorBidi" w:eastAsia="Calibri" w:hAnsiTheme="majorBidi" w:cstheme="majorBidi"/>
          <w:color w:val="000000"/>
        </w:rPr>
      </w:pPr>
    </w:p>
    <w:p w14:paraId="3F4B2935" w14:textId="66CCFAF1" w:rsidR="00A823F8" w:rsidRPr="00A823F8" w:rsidRDefault="00A823F8" w:rsidP="00A823F8">
      <w:pPr>
        <w:autoSpaceDE w:val="0"/>
        <w:autoSpaceDN w:val="0"/>
        <w:bidi/>
        <w:adjustRightInd w:val="0"/>
        <w:spacing w:after="160"/>
        <w:ind w:left="360"/>
        <w:jc w:val="center"/>
        <w:rPr>
          <w:rFonts w:asciiTheme="majorBidi" w:eastAsia="Calibri" w:hAnsiTheme="majorBidi" w:cstheme="majorBidi"/>
          <w:b/>
          <w:bCs/>
          <w:color w:val="000000"/>
          <w:sz w:val="32"/>
          <w:szCs w:val="32"/>
          <w:lang w:bidi="ar-IQ"/>
        </w:rPr>
      </w:pPr>
      <w:r>
        <w:rPr>
          <w:rFonts w:asciiTheme="majorBidi" w:eastAsia="Calibri" w:hAnsiTheme="majorBidi" w:cstheme="majorBidi" w:hint="cs"/>
          <w:b/>
          <w:bCs/>
          <w:color w:val="000000"/>
          <w:sz w:val="32"/>
          <w:szCs w:val="32"/>
          <w:rtl/>
          <w:lang w:bidi="ar-IQ"/>
        </w:rPr>
        <w:t>الإختلافات الفسيولوجية والمناعية بين الثلاسيميا ألفا وبيتا في بغداد</w:t>
      </w:r>
    </w:p>
    <w:p w14:paraId="7AF30990" w14:textId="77777777" w:rsidR="00A823F8" w:rsidRDefault="00A823F8" w:rsidP="00A823F8">
      <w:pPr>
        <w:autoSpaceDE w:val="0"/>
        <w:autoSpaceDN w:val="0"/>
        <w:bidi/>
        <w:adjustRightInd w:val="0"/>
        <w:spacing w:after="160"/>
        <w:ind w:left="360"/>
        <w:jc w:val="both"/>
        <w:rPr>
          <w:rFonts w:asciiTheme="majorBidi" w:eastAsia="Calibri" w:hAnsiTheme="majorBidi" w:cstheme="majorBidi"/>
          <w:color w:val="000000"/>
        </w:rPr>
      </w:pPr>
    </w:p>
    <w:p w14:paraId="330B6FEB" w14:textId="654AD1AC" w:rsidR="00A823F8" w:rsidRPr="00C2358E" w:rsidRDefault="00A823F8" w:rsidP="006D7D00">
      <w:pPr>
        <w:bidi/>
        <w:spacing w:line="480" w:lineRule="auto"/>
        <w:rPr>
          <w:rFonts w:asciiTheme="majorBidi" w:eastAsiaTheme="minorHAnsi" w:hAnsiTheme="majorBidi" w:cstheme="majorBidi"/>
          <w:b/>
          <w:bCs/>
          <w:sz w:val="28"/>
          <w:szCs w:val="28"/>
          <w:rtl/>
          <w:lang w:bidi="ar-IQ"/>
        </w:rPr>
      </w:pPr>
      <w:r w:rsidRPr="00C2358E">
        <w:rPr>
          <w:rFonts w:asciiTheme="majorBidi" w:eastAsiaTheme="minorHAnsi" w:hAnsiTheme="majorBidi" w:cstheme="majorBidi"/>
          <w:b/>
          <w:bCs/>
          <w:sz w:val="28"/>
          <w:szCs w:val="28"/>
          <w:rtl/>
        </w:rPr>
        <w:t>ال</w:t>
      </w:r>
      <w:r w:rsidR="00C2358E">
        <w:rPr>
          <w:rFonts w:asciiTheme="majorBidi" w:eastAsiaTheme="minorHAnsi" w:hAnsiTheme="majorBidi" w:cstheme="majorBidi" w:hint="cs"/>
          <w:b/>
          <w:bCs/>
          <w:sz w:val="28"/>
          <w:szCs w:val="28"/>
          <w:rtl/>
          <w:lang w:bidi="ar-IQ"/>
        </w:rPr>
        <w:t>ـ</w:t>
      </w:r>
      <w:r w:rsidRPr="00C2358E">
        <w:rPr>
          <w:rFonts w:asciiTheme="majorBidi" w:eastAsiaTheme="minorHAnsi" w:hAnsiTheme="majorBidi" w:cstheme="majorBidi"/>
          <w:b/>
          <w:bCs/>
          <w:sz w:val="28"/>
          <w:szCs w:val="28"/>
          <w:rtl/>
        </w:rPr>
        <w:t>خ</w:t>
      </w:r>
      <w:r w:rsidR="00C2358E">
        <w:rPr>
          <w:rFonts w:asciiTheme="majorBidi" w:eastAsiaTheme="minorHAnsi" w:hAnsiTheme="majorBidi" w:cstheme="majorBidi" w:hint="cs"/>
          <w:b/>
          <w:bCs/>
          <w:sz w:val="28"/>
          <w:szCs w:val="28"/>
          <w:rtl/>
        </w:rPr>
        <w:t>ـ</w:t>
      </w:r>
      <w:r w:rsidRPr="00C2358E">
        <w:rPr>
          <w:rFonts w:asciiTheme="majorBidi" w:eastAsiaTheme="minorHAnsi" w:hAnsiTheme="majorBidi" w:cstheme="majorBidi"/>
          <w:b/>
          <w:bCs/>
          <w:sz w:val="28"/>
          <w:szCs w:val="28"/>
          <w:rtl/>
        </w:rPr>
        <w:t>لاص</w:t>
      </w:r>
      <w:r w:rsidR="00C2358E">
        <w:rPr>
          <w:rFonts w:asciiTheme="majorBidi" w:eastAsiaTheme="minorHAnsi" w:hAnsiTheme="majorBidi" w:cstheme="majorBidi" w:hint="cs"/>
          <w:b/>
          <w:bCs/>
          <w:sz w:val="28"/>
          <w:szCs w:val="28"/>
          <w:rtl/>
        </w:rPr>
        <w:t>ـ</w:t>
      </w:r>
      <w:r w:rsidR="006D7D00">
        <w:rPr>
          <w:rFonts w:asciiTheme="majorBidi" w:eastAsiaTheme="minorHAnsi" w:hAnsiTheme="majorBidi" w:cstheme="majorBidi" w:hint="cs"/>
          <w:b/>
          <w:bCs/>
          <w:sz w:val="28"/>
          <w:szCs w:val="28"/>
          <w:rtl/>
          <w:lang w:bidi="ar-IQ"/>
        </w:rPr>
        <w:t xml:space="preserve">ة </w:t>
      </w:r>
    </w:p>
    <w:p w14:paraId="490FCB00" w14:textId="056FB387" w:rsidR="00207492" w:rsidRDefault="00A823F8" w:rsidP="006D7D00">
      <w:pPr>
        <w:bidi/>
        <w:spacing w:after="200" w:line="480" w:lineRule="auto"/>
        <w:ind w:firstLine="720"/>
        <w:rPr>
          <w:rFonts w:asciiTheme="majorBidi" w:eastAsiaTheme="minorHAnsi" w:hAnsiTheme="majorBidi" w:cstheme="majorBidi"/>
          <w:sz w:val="24"/>
          <w:szCs w:val="24"/>
          <w:rtl/>
          <w:lang w:bidi="ar"/>
        </w:rPr>
      </w:pPr>
      <w:r>
        <w:rPr>
          <w:rFonts w:asciiTheme="majorBidi" w:eastAsiaTheme="minorHAnsi" w:hAnsiTheme="majorBidi" w:cstheme="majorBidi" w:hint="cs"/>
          <w:sz w:val="24"/>
          <w:szCs w:val="24"/>
          <w:rtl/>
          <w:lang w:bidi="ar"/>
        </w:rPr>
        <w:t xml:space="preserve">تتميز </w:t>
      </w:r>
      <w:r w:rsidRPr="00A823F8">
        <w:rPr>
          <w:rFonts w:asciiTheme="majorBidi" w:eastAsiaTheme="minorHAnsi" w:hAnsiTheme="majorBidi" w:cstheme="majorBidi"/>
          <w:sz w:val="24"/>
          <w:szCs w:val="24"/>
          <w:rtl/>
          <w:lang w:bidi="ar"/>
        </w:rPr>
        <w:t>الثلاسيميا بيتا</w:t>
      </w:r>
      <w:r>
        <w:rPr>
          <w:rFonts w:asciiTheme="majorBidi" w:eastAsiaTheme="minorHAnsi" w:hAnsiTheme="majorBidi" w:cstheme="majorBidi" w:hint="cs"/>
          <w:sz w:val="24"/>
          <w:szCs w:val="24"/>
          <w:rtl/>
          <w:lang w:bidi="ar"/>
        </w:rPr>
        <w:t xml:space="preserve"> </w:t>
      </w:r>
      <w:r w:rsidRPr="00A823F8">
        <w:rPr>
          <w:rFonts w:asciiTheme="majorBidi" w:eastAsiaTheme="minorHAnsi" w:hAnsiTheme="majorBidi" w:cstheme="majorBidi"/>
          <w:sz w:val="24"/>
          <w:szCs w:val="24"/>
          <w:rtl/>
          <w:lang w:bidi="ar"/>
        </w:rPr>
        <w:t>بضعف تخليق سلسلة بيتا غلوبين.تتصف بيتا ثلاسيميا الكبرى، بفقر دم حاد يصاحبه ضعف في إنتاج خلايا الدم الحمر, وقد يُهدد حياه المريض. أُبلغ عن ارتفاع مستوى إنترلوكين-</w:t>
      </w:r>
      <w:r w:rsidR="006D7D00">
        <w:rPr>
          <w:rFonts w:asciiTheme="majorBidi" w:eastAsiaTheme="minorHAnsi" w:hAnsiTheme="majorBidi" w:cstheme="majorBidi"/>
          <w:sz w:val="24"/>
          <w:szCs w:val="24"/>
          <w:lang w:bidi="ar"/>
        </w:rPr>
        <w:t>6</w:t>
      </w:r>
      <w:r w:rsidRPr="00A823F8">
        <w:rPr>
          <w:rFonts w:asciiTheme="majorBidi" w:eastAsiaTheme="minorHAnsi" w:hAnsiTheme="majorBidi" w:cstheme="majorBidi"/>
          <w:sz w:val="24"/>
          <w:szCs w:val="24"/>
          <w:rtl/>
          <w:lang w:bidi="ar"/>
        </w:rPr>
        <w:t xml:space="preserve"> لدى مرضى ثلاسيميا بيتا، وقد يُعزى ذلك إلى عمليات نقل الدم المتكررة. </w:t>
      </w:r>
    </w:p>
    <w:p w14:paraId="28687B66" w14:textId="3F46195B" w:rsidR="00207492" w:rsidRDefault="00A823F8" w:rsidP="006D7D00">
      <w:pPr>
        <w:bidi/>
        <w:spacing w:after="200" w:line="480" w:lineRule="auto"/>
        <w:ind w:firstLine="720"/>
        <w:rPr>
          <w:rFonts w:asciiTheme="majorBidi" w:eastAsiaTheme="minorHAnsi" w:hAnsiTheme="majorBidi" w:cstheme="majorBidi"/>
          <w:sz w:val="24"/>
          <w:szCs w:val="24"/>
          <w:rtl/>
          <w:lang w:bidi="ar"/>
        </w:rPr>
      </w:pPr>
      <w:r w:rsidRPr="00A823F8">
        <w:rPr>
          <w:rFonts w:asciiTheme="majorBidi" w:eastAsiaTheme="minorHAnsi" w:hAnsiTheme="majorBidi" w:cstheme="majorBidi"/>
          <w:sz w:val="24"/>
          <w:szCs w:val="24"/>
          <w:rtl/>
          <w:lang w:bidi="ar"/>
        </w:rPr>
        <w:t>تهدف هذه الدراسة إلى دراسة دورناقل الحديد الفيريتين في الدم، والإنترلوكين-</w:t>
      </w:r>
      <w:r w:rsidR="006D7D00">
        <w:rPr>
          <w:rFonts w:asciiTheme="majorBidi" w:eastAsiaTheme="minorHAnsi" w:hAnsiTheme="majorBidi" w:cstheme="majorBidi"/>
          <w:sz w:val="24"/>
          <w:szCs w:val="24"/>
          <w:lang w:bidi="ar"/>
        </w:rPr>
        <w:t>6</w:t>
      </w:r>
      <w:r w:rsidRPr="00A823F8">
        <w:rPr>
          <w:rFonts w:asciiTheme="majorBidi" w:eastAsiaTheme="minorHAnsi" w:hAnsiTheme="majorBidi" w:cstheme="majorBidi"/>
          <w:sz w:val="24"/>
          <w:szCs w:val="24"/>
          <w:rtl/>
          <w:lang w:bidi="ar"/>
        </w:rPr>
        <w:t>، والإنترفيرون-</w:t>
      </w:r>
      <w:r w:rsidR="006D7D00">
        <w:rPr>
          <w:rFonts w:asciiTheme="majorBidi" w:eastAsiaTheme="minorHAnsi" w:hAnsiTheme="majorBidi" w:cstheme="majorBidi"/>
          <w:sz w:val="24"/>
          <w:szCs w:val="24"/>
          <w:lang w:bidi="ar"/>
        </w:rPr>
        <w:t xml:space="preserve"> </w:t>
      </w:r>
      <w:r w:rsidRPr="00A823F8">
        <w:rPr>
          <w:rFonts w:asciiTheme="majorBidi" w:eastAsiaTheme="minorHAnsi" w:hAnsiTheme="majorBidi" w:cstheme="majorBidi"/>
          <w:sz w:val="24"/>
          <w:szCs w:val="24"/>
          <w:rtl/>
          <w:lang w:bidi="ar"/>
        </w:rPr>
        <w:t xml:space="preserve">جاما لدى مرضى ثلاسيميا بيتا الكبرى، مقارنةً بمرضى ثلاسيميا ألفا. </w:t>
      </w:r>
    </w:p>
    <w:p w14:paraId="62950573" w14:textId="7746681F" w:rsidR="00207492" w:rsidRDefault="00A823F8" w:rsidP="006D7D00">
      <w:pPr>
        <w:bidi/>
        <w:spacing w:after="200" w:line="480" w:lineRule="auto"/>
        <w:ind w:firstLine="720"/>
        <w:rPr>
          <w:rFonts w:asciiTheme="majorBidi" w:eastAsiaTheme="minorHAnsi" w:hAnsiTheme="majorBidi" w:cstheme="majorBidi"/>
          <w:sz w:val="24"/>
          <w:szCs w:val="24"/>
          <w:rtl/>
          <w:lang w:bidi="ar"/>
        </w:rPr>
      </w:pPr>
      <w:r w:rsidRPr="00A823F8">
        <w:rPr>
          <w:rFonts w:asciiTheme="majorBidi" w:eastAsiaTheme="minorHAnsi" w:hAnsiTheme="majorBidi" w:cstheme="majorBidi"/>
          <w:sz w:val="24"/>
          <w:szCs w:val="24"/>
          <w:rtl/>
          <w:lang w:bidi="ar"/>
        </w:rPr>
        <w:t>شارك في الدراسة الحالية ثمانون ذكرًا (</w:t>
      </w:r>
      <w:r w:rsidR="006D7D00">
        <w:rPr>
          <w:rFonts w:asciiTheme="majorBidi" w:eastAsiaTheme="minorHAnsi" w:hAnsiTheme="majorBidi" w:cstheme="majorBidi"/>
          <w:sz w:val="24"/>
          <w:szCs w:val="24"/>
          <w:lang w:bidi="ar"/>
        </w:rPr>
        <w:t>20</w:t>
      </w:r>
      <w:r w:rsidRPr="00A823F8">
        <w:rPr>
          <w:rFonts w:asciiTheme="majorBidi" w:eastAsiaTheme="minorHAnsi" w:hAnsiTheme="majorBidi" w:cstheme="majorBidi"/>
          <w:sz w:val="24"/>
          <w:szCs w:val="24"/>
          <w:rtl/>
          <w:lang w:bidi="ar"/>
        </w:rPr>
        <w:t xml:space="preserve"> مريضًا مصابًا بثلاسيمية بيتا و</w:t>
      </w:r>
      <w:r w:rsidR="006D7D00">
        <w:rPr>
          <w:rFonts w:asciiTheme="majorBidi" w:eastAsiaTheme="minorHAnsi" w:hAnsiTheme="majorBidi" w:cstheme="majorBidi"/>
          <w:sz w:val="24"/>
          <w:szCs w:val="24"/>
          <w:lang w:bidi="ar"/>
        </w:rPr>
        <w:t>20</w:t>
      </w:r>
      <w:r w:rsidRPr="00A823F8">
        <w:rPr>
          <w:rFonts w:asciiTheme="majorBidi" w:eastAsiaTheme="minorHAnsi" w:hAnsiTheme="majorBidi" w:cstheme="majorBidi"/>
          <w:sz w:val="24"/>
          <w:szCs w:val="24"/>
          <w:rtl/>
          <w:lang w:bidi="ar"/>
        </w:rPr>
        <w:t xml:space="preserve"> مريضًا مصابًا بثلاسيمية ألفا و</w:t>
      </w:r>
      <w:r w:rsidR="006D7D00">
        <w:rPr>
          <w:rFonts w:asciiTheme="majorBidi" w:eastAsiaTheme="minorHAnsi" w:hAnsiTheme="majorBidi" w:cstheme="majorBidi"/>
          <w:sz w:val="24"/>
          <w:szCs w:val="24"/>
          <w:lang w:bidi="ar"/>
        </w:rPr>
        <w:t>40</w:t>
      </w:r>
      <w:r w:rsidRPr="00A823F8">
        <w:rPr>
          <w:rFonts w:asciiTheme="majorBidi" w:eastAsiaTheme="minorHAnsi" w:hAnsiTheme="majorBidi" w:cstheme="majorBidi"/>
          <w:sz w:val="24"/>
          <w:szCs w:val="24"/>
          <w:rtl/>
          <w:lang w:bidi="ar"/>
        </w:rPr>
        <w:t xml:space="preserve"> ذكرًا سليمًا. تم إجراء العمل في مستشفى البلدي في بغداد من بداية </w:t>
      </w:r>
      <w:r w:rsidR="006D7D00">
        <w:rPr>
          <w:rFonts w:asciiTheme="majorBidi" w:eastAsiaTheme="minorHAnsi" w:hAnsiTheme="majorBidi" w:cstheme="majorBidi"/>
          <w:sz w:val="24"/>
          <w:szCs w:val="24"/>
          <w:lang w:bidi="ar"/>
        </w:rPr>
        <w:t>26</w:t>
      </w:r>
      <w:r w:rsidRPr="00A823F8">
        <w:rPr>
          <w:rFonts w:asciiTheme="majorBidi" w:eastAsiaTheme="minorHAnsi" w:hAnsiTheme="majorBidi" w:cstheme="majorBidi"/>
          <w:sz w:val="24"/>
          <w:szCs w:val="24"/>
          <w:rtl/>
          <w:lang w:bidi="ar"/>
        </w:rPr>
        <w:t xml:space="preserve"> ديسمبر </w:t>
      </w:r>
      <w:r w:rsidR="006D7D00">
        <w:rPr>
          <w:rFonts w:asciiTheme="majorBidi" w:eastAsiaTheme="minorHAnsi" w:hAnsiTheme="majorBidi" w:cstheme="majorBidi"/>
          <w:sz w:val="24"/>
          <w:szCs w:val="24"/>
          <w:lang w:bidi="ar"/>
        </w:rPr>
        <w:t>2023</w:t>
      </w:r>
      <w:r w:rsidRPr="00A823F8">
        <w:rPr>
          <w:rFonts w:asciiTheme="majorBidi" w:eastAsiaTheme="minorHAnsi" w:hAnsiTheme="majorBidi" w:cstheme="majorBidi"/>
          <w:sz w:val="24"/>
          <w:szCs w:val="24"/>
          <w:rtl/>
          <w:lang w:bidi="ar"/>
        </w:rPr>
        <w:t xml:space="preserve"> إلى نهاية أبريل </w:t>
      </w:r>
      <w:r w:rsidR="006D7D00">
        <w:rPr>
          <w:rFonts w:asciiTheme="majorBidi" w:eastAsiaTheme="minorHAnsi" w:hAnsiTheme="majorBidi" w:cstheme="majorBidi"/>
          <w:sz w:val="24"/>
          <w:szCs w:val="24"/>
          <w:lang w:bidi="ar"/>
        </w:rPr>
        <w:t>2024</w:t>
      </w:r>
      <w:r w:rsidRPr="00A823F8">
        <w:rPr>
          <w:rFonts w:asciiTheme="majorBidi" w:eastAsiaTheme="minorHAnsi" w:hAnsiTheme="majorBidi" w:cstheme="majorBidi"/>
          <w:sz w:val="24"/>
          <w:szCs w:val="24"/>
          <w:rtl/>
          <w:lang w:bidi="ar"/>
        </w:rPr>
        <w:t>. تم أخذ عينات الدم من جميع المرضى. تم قياس الدم و</w:t>
      </w:r>
      <w:r w:rsidRPr="00A823F8">
        <w:rPr>
          <w:rFonts w:asciiTheme="majorBidi" w:eastAsiaTheme="minorHAnsi" w:hAnsiTheme="majorBidi" w:cstheme="majorBidi"/>
          <w:sz w:val="24"/>
          <w:szCs w:val="24"/>
          <w:lang w:bidi="ar"/>
        </w:rPr>
        <w:t>IL-6</w:t>
      </w:r>
      <w:r w:rsidRPr="00A823F8">
        <w:rPr>
          <w:rFonts w:asciiTheme="majorBidi" w:eastAsiaTheme="minorHAnsi" w:hAnsiTheme="majorBidi" w:cstheme="majorBidi"/>
          <w:sz w:val="24"/>
          <w:szCs w:val="24"/>
          <w:rtl/>
          <w:lang w:bidi="ar"/>
        </w:rPr>
        <w:t xml:space="preserve"> و</w:t>
      </w:r>
      <w:r w:rsidRPr="00A823F8">
        <w:rPr>
          <w:rFonts w:asciiTheme="majorBidi" w:eastAsiaTheme="minorHAnsi" w:hAnsiTheme="majorBidi" w:cstheme="majorBidi"/>
          <w:sz w:val="24"/>
          <w:szCs w:val="24"/>
          <w:lang w:bidi="ar"/>
        </w:rPr>
        <w:t>IFN-γ</w:t>
      </w:r>
      <w:r w:rsidRPr="00A823F8">
        <w:rPr>
          <w:rFonts w:asciiTheme="majorBidi" w:eastAsiaTheme="minorHAnsi" w:hAnsiTheme="majorBidi" w:cstheme="majorBidi"/>
          <w:sz w:val="24"/>
          <w:szCs w:val="24"/>
          <w:rtl/>
          <w:lang w:bidi="ar"/>
        </w:rPr>
        <w:t xml:space="preserve">. </w:t>
      </w:r>
    </w:p>
    <w:p w14:paraId="58D15DB1" w14:textId="51B1DC70" w:rsidR="00A823F8" w:rsidRPr="00A823F8" w:rsidRDefault="00207492" w:rsidP="006D7D00">
      <w:pPr>
        <w:bidi/>
        <w:spacing w:after="200" w:line="480" w:lineRule="auto"/>
        <w:ind w:firstLine="720"/>
        <w:rPr>
          <w:rFonts w:asciiTheme="majorBidi" w:eastAsiaTheme="minorHAnsi" w:hAnsiTheme="majorBidi" w:cstheme="majorBidi"/>
          <w:sz w:val="24"/>
          <w:szCs w:val="24"/>
          <w:lang w:bidi="ar"/>
        </w:rPr>
      </w:pPr>
      <w:r>
        <w:rPr>
          <w:rFonts w:asciiTheme="majorBidi" w:eastAsiaTheme="minorHAnsi" w:hAnsiTheme="majorBidi" w:cstheme="majorBidi" w:hint="cs"/>
          <w:sz w:val="24"/>
          <w:szCs w:val="24"/>
          <w:rtl/>
          <w:lang w:bidi="ar"/>
        </w:rPr>
        <w:t xml:space="preserve">نستنتج من هذا البحث أن </w:t>
      </w:r>
      <w:r w:rsidR="00A823F8" w:rsidRPr="00A823F8">
        <w:rPr>
          <w:rFonts w:asciiTheme="majorBidi" w:eastAsiaTheme="minorHAnsi" w:hAnsiTheme="majorBidi" w:cstheme="majorBidi"/>
          <w:sz w:val="24"/>
          <w:szCs w:val="24"/>
          <w:rtl/>
          <w:lang w:bidi="ar"/>
        </w:rPr>
        <w:t>هناك زيادة كبيرة للغاية في مستويات الفيريتين لدى مرضى بيتا ثلاسيميا مقارنة بحالات ألفا ثلاسيميا. كما لوحظت زيادة كبيرة (</w:t>
      </w:r>
      <w:r w:rsidR="00A823F8" w:rsidRPr="00A823F8">
        <w:rPr>
          <w:rFonts w:asciiTheme="majorBidi" w:eastAsiaTheme="minorHAnsi" w:hAnsiTheme="majorBidi" w:cstheme="majorBidi"/>
          <w:sz w:val="24"/>
          <w:szCs w:val="24"/>
          <w:lang w:bidi="ar"/>
        </w:rPr>
        <w:t xml:space="preserve">p </w:t>
      </w:r>
      <w:r>
        <w:rPr>
          <w:rFonts w:asciiTheme="majorBidi" w:eastAsiaTheme="minorHAnsi" w:hAnsiTheme="majorBidi" w:cstheme="majorBidi"/>
          <w:sz w:val="24"/>
          <w:szCs w:val="24"/>
          <w:lang w:bidi="ar"/>
        </w:rPr>
        <w:t>&lt;</w:t>
      </w:r>
      <w:r w:rsidR="00A823F8" w:rsidRPr="00A823F8">
        <w:rPr>
          <w:rFonts w:asciiTheme="majorBidi" w:eastAsiaTheme="minorHAnsi" w:hAnsiTheme="majorBidi" w:cstheme="majorBidi"/>
          <w:sz w:val="24"/>
          <w:szCs w:val="24"/>
          <w:lang w:bidi="ar"/>
        </w:rPr>
        <w:t xml:space="preserve"> 0.01</w:t>
      </w:r>
      <w:r w:rsidR="00A823F8" w:rsidRPr="00A823F8">
        <w:rPr>
          <w:rFonts w:asciiTheme="majorBidi" w:eastAsiaTheme="minorHAnsi" w:hAnsiTheme="majorBidi" w:cstheme="majorBidi"/>
          <w:sz w:val="24"/>
          <w:szCs w:val="24"/>
          <w:rtl/>
          <w:lang w:bidi="ar"/>
        </w:rPr>
        <w:t xml:space="preserve">) في مستوى </w:t>
      </w:r>
      <w:r w:rsidR="00A823F8" w:rsidRPr="00A823F8">
        <w:rPr>
          <w:rFonts w:asciiTheme="majorBidi" w:eastAsiaTheme="minorHAnsi" w:hAnsiTheme="majorBidi" w:cstheme="majorBidi"/>
          <w:sz w:val="24"/>
          <w:szCs w:val="24"/>
          <w:lang w:bidi="ar"/>
        </w:rPr>
        <w:t>IL-6</w:t>
      </w:r>
      <w:r w:rsidR="00A823F8" w:rsidRPr="00A823F8">
        <w:rPr>
          <w:rFonts w:asciiTheme="majorBidi" w:eastAsiaTheme="minorHAnsi" w:hAnsiTheme="majorBidi" w:cstheme="majorBidi"/>
          <w:sz w:val="24"/>
          <w:szCs w:val="24"/>
          <w:rtl/>
          <w:lang w:bidi="ar"/>
        </w:rPr>
        <w:t xml:space="preserve"> لدى مرضى بيتا ثلاسيميا الكبرى، مقارنة بمرضى ثلاسيميا الفا.</w:t>
      </w:r>
    </w:p>
    <w:p w14:paraId="58C2D0F9" w14:textId="77777777" w:rsidR="00A823F8" w:rsidRPr="00A823F8" w:rsidRDefault="00A823F8" w:rsidP="00A823F8">
      <w:pPr>
        <w:autoSpaceDE w:val="0"/>
        <w:autoSpaceDN w:val="0"/>
        <w:bidi/>
        <w:adjustRightInd w:val="0"/>
        <w:spacing w:after="160"/>
        <w:ind w:left="360"/>
        <w:jc w:val="both"/>
        <w:rPr>
          <w:rFonts w:asciiTheme="majorBidi" w:eastAsia="Calibri" w:hAnsiTheme="majorBidi" w:cstheme="majorBidi"/>
          <w:color w:val="000000"/>
        </w:rPr>
      </w:pPr>
    </w:p>
    <w:p w14:paraId="44D7BD71" w14:textId="77777777" w:rsidR="00A823F8" w:rsidRDefault="00A823F8" w:rsidP="00A823F8">
      <w:pPr>
        <w:autoSpaceDE w:val="0"/>
        <w:autoSpaceDN w:val="0"/>
        <w:bidi/>
        <w:adjustRightInd w:val="0"/>
        <w:spacing w:after="160"/>
        <w:ind w:left="360"/>
        <w:jc w:val="both"/>
        <w:rPr>
          <w:rFonts w:asciiTheme="majorBidi" w:eastAsia="Calibri" w:hAnsiTheme="majorBidi" w:cstheme="majorBidi"/>
          <w:color w:val="000000"/>
        </w:rPr>
      </w:pPr>
    </w:p>
    <w:p w14:paraId="238B81DA" w14:textId="77777777" w:rsidR="00A823F8" w:rsidRDefault="00A823F8" w:rsidP="00A823F8">
      <w:pPr>
        <w:autoSpaceDE w:val="0"/>
        <w:autoSpaceDN w:val="0"/>
        <w:bidi/>
        <w:adjustRightInd w:val="0"/>
        <w:spacing w:after="160"/>
        <w:ind w:left="360"/>
        <w:jc w:val="both"/>
        <w:rPr>
          <w:rFonts w:asciiTheme="majorBidi" w:eastAsia="Calibri" w:hAnsiTheme="majorBidi" w:cstheme="majorBidi"/>
          <w:color w:val="000000"/>
        </w:rPr>
      </w:pPr>
    </w:p>
    <w:p w14:paraId="3A014DF4" w14:textId="77777777" w:rsidR="00A823F8" w:rsidRDefault="00A823F8" w:rsidP="00A823F8">
      <w:pPr>
        <w:autoSpaceDE w:val="0"/>
        <w:autoSpaceDN w:val="0"/>
        <w:bidi/>
        <w:adjustRightInd w:val="0"/>
        <w:spacing w:after="160"/>
        <w:ind w:left="360"/>
        <w:jc w:val="both"/>
        <w:rPr>
          <w:rFonts w:asciiTheme="majorBidi" w:eastAsia="Calibri" w:hAnsiTheme="majorBidi" w:cstheme="majorBidi"/>
          <w:color w:val="000000"/>
        </w:rPr>
      </w:pPr>
    </w:p>
    <w:p w14:paraId="5F186799" w14:textId="77777777" w:rsidR="00A823F8" w:rsidRDefault="00A823F8" w:rsidP="00A823F8">
      <w:pPr>
        <w:autoSpaceDE w:val="0"/>
        <w:autoSpaceDN w:val="0"/>
        <w:bidi/>
        <w:adjustRightInd w:val="0"/>
        <w:spacing w:after="160"/>
        <w:ind w:left="360"/>
        <w:jc w:val="both"/>
        <w:rPr>
          <w:rFonts w:asciiTheme="majorBidi" w:eastAsia="Calibri" w:hAnsiTheme="majorBidi" w:cstheme="majorBidi"/>
          <w:color w:val="000000"/>
        </w:rPr>
      </w:pPr>
    </w:p>
    <w:p w14:paraId="464B503E" w14:textId="77777777" w:rsidR="00A823F8" w:rsidRDefault="00A823F8" w:rsidP="00A823F8">
      <w:pPr>
        <w:autoSpaceDE w:val="0"/>
        <w:autoSpaceDN w:val="0"/>
        <w:bidi/>
        <w:adjustRightInd w:val="0"/>
        <w:spacing w:after="160"/>
        <w:ind w:left="360"/>
        <w:jc w:val="both"/>
        <w:rPr>
          <w:rFonts w:asciiTheme="majorBidi" w:eastAsia="Calibri" w:hAnsiTheme="majorBidi" w:cstheme="majorBidi"/>
          <w:color w:val="000000"/>
        </w:rPr>
      </w:pPr>
    </w:p>
    <w:p w14:paraId="5252376F" w14:textId="77777777" w:rsidR="00A823F8" w:rsidRDefault="00A823F8" w:rsidP="00A823F8">
      <w:pPr>
        <w:autoSpaceDE w:val="0"/>
        <w:autoSpaceDN w:val="0"/>
        <w:bidi/>
        <w:adjustRightInd w:val="0"/>
        <w:spacing w:after="160"/>
        <w:ind w:left="360"/>
        <w:jc w:val="both"/>
        <w:rPr>
          <w:rFonts w:asciiTheme="majorBidi" w:eastAsia="Calibri" w:hAnsiTheme="majorBidi" w:cstheme="majorBidi"/>
          <w:color w:val="000000"/>
        </w:rPr>
      </w:pPr>
    </w:p>
    <w:p w14:paraId="37258028" w14:textId="77777777" w:rsidR="00A823F8" w:rsidRDefault="00A823F8" w:rsidP="00A823F8">
      <w:pPr>
        <w:autoSpaceDE w:val="0"/>
        <w:autoSpaceDN w:val="0"/>
        <w:bidi/>
        <w:adjustRightInd w:val="0"/>
        <w:spacing w:after="160"/>
        <w:ind w:left="360"/>
        <w:jc w:val="both"/>
        <w:rPr>
          <w:rFonts w:asciiTheme="majorBidi" w:eastAsia="Calibri" w:hAnsiTheme="majorBidi" w:cstheme="majorBidi"/>
          <w:color w:val="000000"/>
        </w:rPr>
      </w:pPr>
    </w:p>
    <w:p w14:paraId="34B24869" w14:textId="77777777" w:rsidR="00A823F8" w:rsidRPr="00500A02" w:rsidRDefault="00A823F8" w:rsidP="00A823F8">
      <w:pPr>
        <w:autoSpaceDE w:val="0"/>
        <w:autoSpaceDN w:val="0"/>
        <w:bidi/>
        <w:adjustRightInd w:val="0"/>
        <w:spacing w:after="160"/>
        <w:ind w:left="360"/>
        <w:rPr>
          <w:rFonts w:asciiTheme="majorBidi" w:eastAsia="Calibri" w:hAnsiTheme="majorBidi" w:cstheme="majorBidi"/>
          <w:color w:val="000000"/>
        </w:rPr>
      </w:pPr>
    </w:p>
    <w:sectPr w:rsidR="00A823F8" w:rsidRPr="00500A02" w:rsidSect="000577CD">
      <w:headerReference w:type="even" r:id="rId24"/>
      <w:headerReference w:type="default" r:id="rId25"/>
      <w:footerReference w:type="default" r:id="rId26"/>
      <w:headerReference w:type="first" r:id="rId27"/>
      <w:pgSz w:w="12240" w:h="15840"/>
      <w:pgMar w:top="1440" w:right="1440" w:bottom="1440" w:left="1440" w:header="720" w:footer="720" w:gutter="0"/>
      <w:pgNumType w:start="3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F7FE7" w14:textId="77777777" w:rsidR="00F4570F" w:rsidRDefault="00F4570F" w:rsidP="00DE4378">
      <w:r>
        <w:separator/>
      </w:r>
    </w:p>
  </w:endnote>
  <w:endnote w:type="continuationSeparator" w:id="0">
    <w:p w14:paraId="0A4BF946" w14:textId="77777777" w:rsidR="00F4570F" w:rsidRDefault="00F4570F" w:rsidP="00DE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903206"/>
      <w:docPartObj>
        <w:docPartGallery w:val="Page Numbers (Bottom of Page)"/>
        <w:docPartUnique/>
      </w:docPartObj>
    </w:sdtPr>
    <w:sdtEndPr>
      <w:rPr>
        <w:noProof/>
      </w:rPr>
    </w:sdtEndPr>
    <w:sdtContent>
      <w:p w14:paraId="419954D1" w14:textId="693E0107" w:rsidR="000577CD" w:rsidRDefault="000577CD">
        <w:pPr>
          <w:pStyle w:val="Footer"/>
          <w:jc w:val="center"/>
        </w:pPr>
        <w:r>
          <w:fldChar w:fldCharType="begin"/>
        </w:r>
        <w:r>
          <w:instrText xml:space="preserve"> PAGE   \* MERGEFORMAT </w:instrText>
        </w:r>
        <w:r>
          <w:fldChar w:fldCharType="separate"/>
        </w:r>
        <w:r w:rsidR="004A5D12">
          <w:rPr>
            <w:noProof/>
          </w:rPr>
          <w:t>37</w:t>
        </w:r>
        <w:r>
          <w:rPr>
            <w:noProof/>
          </w:rPr>
          <w:fldChar w:fldCharType="end"/>
        </w:r>
      </w:p>
    </w:sdtContent>
  </w:sdt>
  <w:p w14:paraId="340E133E" w14:textId="77777777" w:rsidR="00DE4378" w:rsidRDefault="00DE4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D37CE" w14:textId="77777777" w:rsidR="00F4570F" w:rsidRDefault="00F4570F" w:rsidP="00DE4378">
      <w:r>
        <w:separator/>
      </w:r>
    </w:p>
  </w:footnote>
  <w:footnote w:type="continuationSeparator" w:id="0">
    <w:p w14:paraId="01CD8967" w14:textId="77777777" w:rsidR="00F4570F" w:rsidRDefault="00F4570F" w:rsidP="00DE4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E03C3" w14:textId="26E6F76D" w:rsidR="005311E0" w:rsidRDefault="00F4570F">
    <w:pPr>
      <w:pStyle w:val="Header"/>
    </w:pPr>
    <w:r>
      <w:rPr>
        <w:noProof/>
      </w:rPr>
      <w:pict w14:anchorId="05AEC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002532" o:spid="_x0000_s2050" type="#_x0000_t75" style="position:absolute;margin-left:0;margin-top:0;width:468pt;height:468pt;z-index:-251657216;mso-position-horizontal:center;mso-position-horizontal-relative:margin;mso-position-vertical:center;mso-position-vertical-relative:margin" o:allowincell="f">
          <v:imagedata r:id="rId1" o:title="Dijlah Logo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1D789" w14:textId="35E7D538" w:rsidR="00515BF6" w:rsidRDefault="00F4570F" w:rsidP="00515BF6">
    <w:pPr>
      <w:pStyle w:val="Header"/>
      <w:rPr>
        <w:lang w:val="en-GB"/>
      </w:rPr>
    </w:pPr>
    <w:r>
      <w:rPr>
        <w:rFonts w:ascii="Bookman Old Style" w:hAnsi="Bookman Old Style"/>
        <w:b/>
        <w:iCs/>
        <w:noProof/>
        <w:color w:val="000000"/>
      </w:rPr>
      <w:pict w14:anchorId="0B70E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002533" o:spid="_x0000_s2051" type="#_x0000_t75" style="position:absolute;margin-left:0;margin-top:0;width:468pt;height:468pt;z-index:-251656192;mso-position-horizontal:center;mso-position-horizontal-relative:margin;mso-position-vertical:center;mso-position-vertical-relative:margin" o:allowincell="f">
          <v:imagedata r:id="rId1" o:title="Dijlah Logo1" gain="19661f" blacklevel="22938f"/>
          <w10:wrap anchorx="margin" anchory="margin"/>
        </v:shape>
      </w:pict>
    </w:r>
    <w:r w:rsidR="00515BF6" w:rsidRPr="0019726F">
      <w:rPr>
        <w:rFonts w:ascii="Bookman Old Style" w:hAnsi="Bookman Old Style"/>
        <w:b/>
        <w:iCs/>
        <w:color w:val="000000"/>
        <w:lang w:val="en-GB" w:eastAsia="el-GR"/>
      </w:rPr>
      <w:t>Dijl</w:t>
    </w:r>
    <w:r w:rsidR="00515BF6">
      <w:rPr>
        <w:rFonts w:ascii="Bookman Old Style" w:hAnsi="Bookman Old Style"/>
        <w:b/>
        <w:iCs/>
        <w:color w:val="000000"/>
        <w:lang w:val="en-GB" w:eastAsia="el-GR"/>
      </w:rPr>
      <w:t xml:space="preserve">ah Journal of Medical Sciences </w:t>
    </w:r>
    <w:r w:rsidR="00515BF6" w:rsidRPr="0019726F">
      <w:rPr>
        <w:rFonts w:ascii="Bookman Old Style" w:hAnsi="Bookman Old Style"/>
        <w:b/>
        <w:iCs/>
        <w:color w:val="000000"/>
        <w:lang w:val="en-GB" w:eastAsia="el-GR"/>
      </w:rPr>
      <w:t>(DJMS)</w:t>
    </w:r>
    <w:r w:rsidR="00515BF6">
      <w:rPr>
        <w:rFonts w:ascii="Bookman Old Style" w:hAnsi="Bookman Old Style"/>
        <w:b/>
        <w:iCs/>
        <w:color w:val="000000"/>
        <w:lang w:val="en-GB" w:eastAsia="el-GR"/>
      </w:rPr>
      <w:t xml:space="preserve"> </w:t>
    </w:r>
    <w:r w:rsidR="00515BF6" w:rsidRPr="0019726F">
      <w:rPr>
        <w:rFonts w:ascii="Bookman Old Style" w:hAnsi="Bookman Old Style"/>
        <w:b/>
        <w:iCs/>
        <w:color w:val="000000"/>
        <w:lang w:val="en-GB" w:eastAsia="el-GR"/>
      </w:rPr>
      <w:t xml:space="preserve">                </w:t>
    </w:r>
    <w:r w:rsidR="00515BF6">
      <w:rPr>
        <w:rFonts w:ascii="Bookman Old Style" w:hAnsi="Bookman Old Style"/>
        <w:b/>
        <w:iCs/>
        <w:color w:val="000000"/>
        <w:lang w:val="en-GB" w:eastAsia="el-GR"/>
      </w:rPr>
      <w:tab/>
      <w:t xml:space="preserve">       </w:t>
    </w:r>
    <w:r w:rsidR="00515BF6">
      <w:t>Vol. 2, No. 1, September, 2025</w:t>
    </w:r>
    <w:r w:rsidR="00515BF6" w:rsidRPr="0019726F">
      <w:t>, pp</w:t>
    </w:r>
    <w:r w:rsidR="000577CD">
      <w:t>. 37-43</w:t>
    </w:r>
  </w:p>
  <w:p w14:paraId="2715098F" w14:textId="3BA3B905" w:rsidR="00DE4378" w:rsidRDefault="00515BF6" w:rsidP="00DE4378">
    <w:pPr>
      <w:pStyle w:val="Header"/>
      <w:rPr>
        <w:lang w:bidi="ar-IQ"/>
      </w:rPr>
    </w:pPr>
    <w:r>
      <w:t xml:space="preserve">P-ISSN: 3078-3178, </w:t>
    </w:r>
    <w:r w:rsidR="009A281E">
      <w:t>E-ISSN: 3078-8625, paper ID: 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29C02" w14:textId="43DD61BC" w:rsidR="005311E0" w:rsidRDefault="00F4570F">
    <w:pPr>
      <w:pStyle w:val="Header"/>
    </w:pPr>
    <w:r>
      <w:rPr>
        <w:noProof/>
      </w:rPr>
      <w:pict w14:anchorId="1EFB3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002531" o:spid="_x0000_s2049" type="#_x0000_t75" style="position:absolute;margin-left:0;margin-top:0;width:468pt;height:468pt;z-index:-251658240;mso-position-horizontal:center;mso-position-horizontal-relative:margin;mso-position-vertical:center;mso-position-vertical-relative:margin" o:allowincell="f">
          <v:imagedata r:id="rId1" o:title="Dijlah Logo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067E"/>
    <w:multiLevelType w:val="hybridMultilevel"/>
    <w:tmpl w:val="21CAC598"/>
    <w:lvl w:ilvl="0" w:tplc="FA3205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0A317A"/>
    <w:multiLevelType w:val="multilevel"/>
    <w:tmpl w:val="8242A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78"/>
    <w:rsid w:val="000577CD"/>
    <w:rsid w:val="000B62F3"/>
    <w:rsid w:val="000D031D"/>
    <w:rsid w:val="000E5F4B"/>
    <w:rsid w:val="000E7779"/>
    <w:rsid w:val="0015275E"/>
    <w:rsid w:val="00173426"/>
    <w:rsid w:val="00174428"/>
    <w:rsid w:val="00176F30"/>
    <w:rsid w:val="001808F4"/>
    <w:rsid w:val="001811F0"/>
    <w:rsid w:val="00187F0D"/>
    <w:rsid w:val="001B17FB"/>
    <w:rsid w:val="001F0973"/>
    <w:rsid w:val="00207492"/>
    <w:rsid w:val="0024599E"/>
    <w:rsid w:val="002A11B2"/>
    <w:rsid w:val="002B3BE8"/>
    <w:rsid w:val="002C67B0"/>
    <w:rsid w:val="002D27FF"/>
    <w:rsid w:val="003207F1"/>
    <w:rsid w:val="00341927"/>
    <w:rsid w:val="00357F2B"/>
    <w:rsid w:val="00376314"/>
    <w:rsid w:val="00384132"/>
    <w:rsid w:val="003B1400"/>
    <w:rsid w:val="003E04AD"/>
    <w:rsid w:val="004279B6"/>
    <w:rsid w:val="00462154"/>
    <w:rsid w:val="004729A7"/>
    <w:rsid w:val="004A5D12"/>
    <w:rsid w:val="004D12E5"/>
    <w:rsid w:val="00500A02"/>
    <w:rsid w:val="00515BF6"/>
    <w:rsid w:val="00517480"/>
    <w:rsid w:val="005311E0"/>
    <w:rsid w:val="00542CB8"/>
    <w:rsid w:val="005527DB"/>
    <w:rsid w:val="005616A0"/>
    <w:rsid w:val="00562B3C"/>
    <w:rsid w:val="005D42D4"/>
    <w:rsid w:val="005D6011"/>
    <w:rsid w:val="006136DC"/>
    <w:rsid w:val="006175EB"/>
    <w:rsid w:val="0062223D"/>
    <w:rsid w:val="006458BE"/>
    <w:rsid w:val="00680EFA"/>
    <w:rsid w:val="006B62F1"/>
    <w:rsid w:val="006D7D00"/>
    <w:rsid w:val="006E4A09"/>
    <w:rsid w:val="00767A3A"/>
    <w:rsid w:val="007F42F9"/>
    <w:rsid w:val="00813078"/>
    <w:rsid w:val="00815310"/>
    <w:rsid w:val="008B48DE"/>
    <w:rsid w:val="008C5566"/>
    <w:rsid w:val="0090560B"/>
    <w:rsid w:val="009455A1"/>
    <w:rsid w:val="00960074"/>
    <w:rsid w:val="009A281E"/>
    <w:rsid w:val="009E7183"/>
    <w:rsid w:val="00A67359"/>
    <w:rsid w:val="00A823F8"/>
    <w:rsid w:val="00A84C4D"/>
    <w:rsid w:val="00AB09C1"/>
    <w:rsid w:val="00AF16C9"/>
    <w:rsid w:val="00B342BD"/>
    <w:rsid w:val="00B5768A"/>
    <w:rsid w:val="00B605A6"/>
    <w:rsid w:val="00B64255"/>
    <w:rsid w:val="00B8607E"/>
    <w:rsid w:val="00BE1D9B"/>
    <w:rsid w:val="00C2358E"/>
    <w:rsid w:val="00C84000"/>
    <w:rsid w:val="00C9293E"/>
    <w:rsid w:val="00CA03B7"/>
    <w:rsid w:val="00CA483B"/>
    <w:rsid w:val="00CC319C"/>
    <w:rsid w:val="00CD4699"/>
    <w:rsid w:val="00D03EB4"/>
    <w:rsid w:val="00D517D4"/>
    <w:rsid w:val="00D90ADF"/>
    <w:rsid w:val="00D97548"/>
    <w:rsid w:val="00DE4378"/>
    <w:rsid w:val="00DE69A5"/>
    <w:rsid w:val="00DF2DB8"/>
    <w:rsid w:val="00E2504D"/>
    <w:rsid w:val="00E4177B"/>
    <w:rsid w:val="00EC778F"/>
    <w:rsid w:val="00F06664"/>
    <w:rsid w:val="00F3072A"/>
    <w:rsid w:val="00F4570F"/>
    <w:rsid w:val="00F4795F"/>
    <w:rsid w:val="00FA0918"/>
    <w:rsid w:val="00FC3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73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8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customStyle="1" w:styleId="1">
    <w:name w:val="إشارة لم يتم حلها1"/>
    <w:basedOn w:val="DefaultParagraphFont"/>
    <w:uiPriority w:val="99"/>
    <w:semiHidden/>
    <w:unhideWhenUsed/>
    <w:rsid w:val="0090560B"/>
    <w:rPr>
      <w:color w:val="605E5C"/>
      <w:shd w:val="clear" w:color="auto" w:fill="E1DFDD"/>
    </w:rPr>
  </w:style>
  <w:style w:type="paragraph" w:styleId="NormalWeb">
    <w:name w:val="Normal (Web)"/>
    <w:basedOn w:val="Normal"/>
    <w:uiPriority w:val="99"/>
    <w:semiHidden/>
    <w:unhideWhenUsed/>
    <w:rsid w:val="000E7779"/>
    <w:rPr>
      <w:sz w:val="24"/>
      <w:szCs w:val="24"/>
    </w:rPr>
  </w:style>
  <w:style w:type="paragraph" w:styleId="ListParagraph">
    <w:name w:val="List Paragraph"/>
    <w:basedOn w:val="Normal"/>
    <w:uiPriority w:val="34"/>
    <w:qFormat/>
    <w:rsid w:val="00960074"/>
    <w:pPr>
      <w:ind w:left="720"/>
      <w:contextualSpacing/>
    </w:pPr>
  </w:style>
  <w:style w:type="character" w:styleId="Emphasis">
    <w:name w:val="Emphasis"/>
    <w:basedOn w:val="DefaultParagraphFont"/>
    <w:uiPriority w:val="20"/>
    <w:qFormat/>
    <w:rsid w:val="00CC31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8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customStyle="1" w:styleId="1">
    <w:name w:val="إشارة لم يتم حلها1"/>
    <w:basedOn w:val="DefaultParagraphFont"/>
    <w:uiPriority w:val="99"/>
    <w:semiHidden/>
    <w:unhideWhenUsed/>
    <w:rsid w:val="0090560B"/>
    <w:rPr>
      <w:color w:val="605E5C"/>
      <w:shd w:val="clear" w:color="auto" w:fill="E1DFDD"/>
    </w:rPr>
  </w:style>
  <w:style w:type="paragraph" w:styleId="NormalWeb">
    <w:name w:val="Normal (Web)"/>
    <w:basedOn w:val="Normal"/>
    <w:uiPriority w:val="99"/>
    <w:semiHidden/>
    <w:unhideWhenUsed/>
    <w:rsid w:val="000E7779"/>
    <w:rPr>
      <w:sz w:val="24"/>
      <w:szCs w:val="24"/>
    </w:rPr>
  </w:style>
  <w:style w:type="paragraph" w:styleId="ListParagraph">
    <w:name w:val="List Paragraph"/>
    <w:basedOn w:val="Normal"/>
    <w:uiPriority w:val="34"/>
    <w:qFormat/>
    <w:rsid w:val="00960074"/>
    <w:pPr>
      <w:ind w:left="720"/>
      <w:contextualSpacing/>
    </w:pPr>
  </w:style>
  <w:style w:type="character" w:styleId="Emphasis">
    <w:name w:val="Emphasis"/>
    <w:basedOn w:val="DefaultParagraphFont"/>
    <w:uiPriority w:val="20"/>
    <w:qFormat/>
    <w:rsid w:val="00CC31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27691">
      <w:bodyDiv w:val="1"/>
      <w:marLeft w:val="0"/>
      <w:marRight w:val="0"/>
      <w:marTop w:val="0"/>
      <w:marBottom w:val="0"/>
      <w:divBdr>
        <w:top w:val="none" w:sz="0" w:space="0" w:color="auto"/>
        <w:left w:val="none" w:sz="0" w:space="0" w:color="auto"/>
        <w:bottom w:val="none" w:sz="0" w:space="0" w:color="auto"/>
        <w:right w:val="none" w:sz="0" w:space="0" w:color="auto"/>
      </w:divBdr>
    </w:div>
    <w:div w:id="1112433400">
      <w:bodyDiv w:val="1"/>
      <w:marLeft w:val="0"/>
      <w:marRight w:val="0"/>
      <w:marTop w:val="0"/>
      <w:marBottom w:val="0"/>
      <w:divBdr>
        <w:top w:val="none" w:sz="0" w:space="0" w:color="auto"/>
        <w:left w:val="none" w:sz="0" w:space="0" w:color="auto"/>
        <w:bottom w:val="none" w:sz="0" w:space="0" w:color="auto"/>
        <w:right w:val="none" w:sz="0" w:space="0" w:color="auto"/>
      </w:divBdr>
    </w:div>
    <w:div w:id="21298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doi.org/10.1002/pbc.2890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3390/ijms22189677"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doi.org/10.1136/bmjdrc-2020-00120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29252/rbmb.9.2.209" TargetMode="External"/><Relationship Id="rId20" Type="http://schemas.openxmlformats.org/officeDocument/2006/relationships/hyperlink" Target="https://doi.org/10.4103/jfmpc.jfmpc_1007_1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i.org/10.29252/hmj.22.1.1" TargetMode="External"/><Relationship Id="rId23" Type="http://schemas.openxmlformats.org/officeDocument/2006/relationships/hyperlink" Target="https://doi.org/10.70135/seejph.vi.1659"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oi.org/10.24875/ciru.21000246" TargetMode="External"/><Relationship Id="rId4" Type="http://schemas.microsoft.com/office/2007/relationships/stylesWithEffects" Target="stylesWithEffects.xml"/><Relationship Id="rId9" Type="http://schemas.openxmlformats.org/officeDocument/2006/relationships/hyperlink" Target="mailto:maliahhatem58@gmail.com" TargetMode="External"/><Relationship Id="rId14" Type="http://schemas.openxmlformats.org/officeDocument/2006/relationships/hyperlink" Target="https://doi.org/10.25130/tips.24.2019.021" TargetMode="External"/><Relationship Id="rId22" Type="http://schemas.openxmlformats.org/officeDocument/2006/relationships/hyperlink" Target="https://doi.org/10.53730/ijhs.v6nS6.10343"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53576-8D32-4FE7-973E-4C82C74C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2335</Words>
  <Characters>13313</Characters>
  <Application>Microsoft Office Word</Application>
  <DocSecurity>0</DocSecurity>
  <Lines>110</Lines>
  <Paragraphs>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35</cp:revision>
  <cp:lastPrinted>2025-08-12T09:58:00Z</cp:lastPrinted>
  <dcterms:created xsi:type="dcterms:W3CDTF">2025-04-13T08:54:00Z</dcterms:created>
  <dcterms:modified xsi:type="dcterms:W3CDTF">2025-08-12T09:58:00Z</dcterms:modified>
</cp:coreProperties>
</file>