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410DC" w14:textId="3F8AD107" w:rsidR="00A34333" w:rsidRPr="00A34333" w:rsidRDefault="00A34333" w:rsidP="00F950BC">
      <w:pPr>
        <w:jc w:val="center"/>
        <w:rPr>
          <w:b/>
          <w:bCs/>
          <w:sz w:val="32"/>
          <w:szCs w:val="32"/>
          <w:rtl/>
        </w:rPr>
      </w:pPr>
      <w:r w:rsidRPr="00A34333">
        <w:rPr>
          <w:b/>
          <w:bCs/>
          <w:sz w:val="32"/>
          <w:szCs w:val="32"/>
        </w:rPr>
        <w:t xml:space="preserve">The </w:t>
      </w:r>
      <w:r>
        <w:rPr>
          <w:b/>
          <w:bCs/>
          <w:sz w:val="32"/>
          <w:szCs w:val="32"/>
        </w:rPr>
        <w:t>I</w:t>
      </w:r>
      <w:r w:rsidRPr="00A34333">
        <w:rPr>
          <w:b/>
          <w:bCs/>
          <w:sz w:val="32"/>
          <w:szCs w:val="32"/>
        </w:rPr>
        <w:t>mpact of Bacterial Infections on Renal and Metabolic Biochemical Parameters in Thyroid Cancer Patients</w:t>
      </w:r>
    </w:p>
    <w:p w14:paraId="1945A040" w14:textId="77777777" w:rsidR="006458BE" w:rsidRPr="00650D25" w:rsidRDefault="006458BE" w:rsidP="006458BE">
      <w:pPr>
        <w:jc w:val="center"/>
        <w:rPr>
          <w:b/>
          <w:bCs/>
          <w:sz w:val="12"/>
          <w:szCs w:val="12"/>
        </w:rPr>
      </w:pPr>
    </w:p>
    <w:p w14:paraId="1F2185A1" w14:textId="77777777" w:rsidR="006458BE" w:rsidRPr="00650D25" w:rsidRDefault="006458BE" w:rsidP="006458BE">
      <w:pPr>
        <w:jc w:val="center"/>
        <w:rPr>
          <w:b/>
          <w:bCs/>
          <w:sz w:val="12"/>
          <w:szCs w:val="12"/>
        </w:rPr>
      </w:pPr>
    </w:p>
    <w:p w14:paraId="1DECB396" w14:textId="23B3E3CC" w:rsidR="00650D25" w:rsidRPr="00F950BC" w:rsidRDefault="00F950BC" w:rsidP="002B2D29">
      <w:pPr>
        <w:jc w:val="center"/>
        <w:rPr>
          <w:b/>
          <w:bCs/>
          <w:sz w:val="4"/>
          <w:szCs w:val="4"/>
          <w:vertAlign w:val="superscript"/>
        </w:rPr>
      </w:pPr>
      <w:r>
        <w:rPr>
          <w:b/>
          <w:bCs/>
          <w:sz w:val="24"/>
          <w:szCs w:val="24"/>
        </w:rPr>
        <w:t>Anwar M. Lazm</w:t>
      </w:r>
      <w:r>
        <w:rPr>
          <w:b/>
          <w:bCs/>
          <w:sz w:val="24"/>
          <w:szCs w:val="24"/>
          <w:vertAlign w:val="superscript"/>
        </w:rPr>
        <w:t>1</w:t>
      </w:r>
      <w:r w:rsidR="0045242D">
        <w:rPr>
          <w:b/>
          <w:bCs/>
          <w:sz w:val="24"/>
          <w:szCs w:val="24"/>
        </w:rPr>
        <w:t xml:space="preserve"> and</w:t>
      </w:r>
      <w:r>
        <w:rPr>
          <w:b/>
          <w:bCs/>
          <w:sz w:val="24"/>
          <w:szCs w:val="24"/>
        </w:rPr>
        <w:t xml:space="preserve"> </w:t>
      </w:r>
      <w:proofErr w:type="spellStart"/>
      <w:r>
        <w:rPr>
          <w:b/>
          <w:bCs/>
          <w:sz w:val="24"/>
          <w:szCs w:val="24"/>
        </w:rPr>
        <w:t>Alaa</w:t>
      </w:r>
      <w:proofErr w:type="spellEnd"/>
      <w:r>
        <w:rPr>
          <w:b/>
          <w:bCs/>
          <w:sz w:val="24"/>
          <w:szCs w:val="24"/>
        </w:rPr>
        <w:t xml:space="preserve"> </w:t>
      </w:r>
      <w:proofErr w:type="spellStart"/>
      <w:r>
        <w:rPr>
          <w:b/>
          <w:bCs/>
          <w:sz w:val="24"/>
          <w:szCs w:val="24"/>
        </w:rPr>
        <w:t>Saadi</w:t>
      </w:r>
      <w:proofErr w:type="spellEnd"/>
      <w:r>
        <w:rPr>
          <w:b/>
          <w:bCs/>
          <w:sz w:val="24"/>
          <w:szCs w:val="24"/>
        </w:rPr>
        <w:t xml:space="preserve"> Abbood</w:t>
      </w:r>
      <w:r>
        <w:rPr>
          <w:b/>
          <w:bCs/>
          <w:sz w:val="24"/>
          <w:szCs w:val="24"/>
          <w:vertAlign w:val="superscript"/>
        </w:rPr>
        <w:t>2*</w:t>
      </w:r>
    </w:p>
    <w:p w14:paraId="028C6F01" w14:textId="1E4548B5" w:rsidR="0045242D" w:rsidRPr="00F950BC" w:rsidRDefault="0045242D" w:rsidP="00F950BC">
      <w:pPr>
        <w:jc w:val="center"/>
        <w:rPr>
          <w:rFonts w:asciiTheme="majorBidi" w:hAnsiTheme="majorBidi" w:cstheme="majorBidi"/>
          <w:sz w:val="18"/>
          <w:szCs w:val="18"/>
        </w:rPr>
      </w:pPr>
      <w:r w:rsidRPr="00F950BC">
        <w:rPr>
          <w:rFonts w:asciiTheme="majorBidi" w:hAnsiTheme="majorBidi" w:cstheme="majorBidi"/>
          <w:sz w:val="18"/>
          <w:szCs w:val="18"/>
        </w:rPr>
        <w:t>1</w:t>
      </w:r>
      <w:r w:rsidR="00F950BC" w:rsidRPr="00F950BC">
        <w:rPr>
          <w:rFonts w:asciiTheme="majorBidi" w:hAnsiTheme="majorBidi" w:cstheme="majorBidi"/>
          <w:sz w:val="18"/>
          <w:szCs w:val="18"/>
        </w:rPr>
        <w:t xml:space="preserve"> </w:t>
      </w:r>
      <w:r w:rsidRPr="00F950BC">
        <w:rPr>
          <w:rFonts w:asciiTheme="majorBidi" w:hAnsiTheme="majorBidi" w:cstheme="majorBidi"/>
          <w:sz w:val="18"/>
          <w:szCs w:val="18"/>
        </w:rPr>
        <w:t>D</w:t>
      </w:r>
      <w:r w:rsidR="00F950BC" w:rsidRPr="00F950BC">
        <w:rPr>
          <w:rFonts w:asciiTheme="majorBidi" w:hAnsiTheme="majorBidi" w:cstheme="majorBidi"/>
          <w:sz w:val="18"/>
          <w:szCs w:val="18"/>
        </w:rPr>
        <w:t xml:space="preserve">epartment of Optics </w:t>
      </w:r>
      <w:r w:rsidRPr="00F950BC">
        <w:rPr>
          <w:rFonts w:asciiTheme="majorBidi" w:hAnsiTheme="majorBidi" w:cstheme="majorBidi"/>
          <w:sz w:val="18"/>
          <w:szCs w:val="18"/>
        </w:rPr>
        <w:t xml:space="preserve">Techniques, College of Health and Medical Techniques, Middle Technical University, Baghdad, </w:t>
      </w:r>
      <w:r w:rsidR="00F950BC" w:rsidRPr="00F950BC">
        <w:rPr>
          <w:rFonts w:asciiTheme="majorBidi" w:hAnsiTheme="majorBidi" w:cstheme="majorBidi"/>
          <w:sz w:val="18"/>
          <w:szCs w:val="18"/>
        </w:rPr>
        <w:t>Iraq</w:t>
      </w:r>
    </w:p>
    <w:p w14:paraId="6D527EB6" w14:textId="63030E2F" w:rsidR="006458BE" w:rsidRPr="00F950BC" w:rsidRDefault="0045242D" w:rsidP="00F950BC">
      <w:pPr>
        <w:jc w:val="center"/>
        <w:rPr>
          <w:rFonts w:asciiTheme="majorBidi" w:hAnsiTheme="majorBidi" w:cstheme="majorBidi"/>
          <w:sz w:val="18"/>
          <w:szCs w:val="18"/>
        </w:rPr>
      </w:pPr>
      <w:r w:rsidRPr="00F950BC">
        <w:rPr>
          <w:rFonts w:asciiTheme="majorBidi" w:hAnsiTheme="majorBidi" w:cstheme="majorBidi"/>
          <w:sz w:val="18"/>
          <w:szCs w:val="18"/>
        </w:rPr>
        <w:t>2</w:t>
      </w:r>
      <w:r w:rsidR="00F950BC" w:rsidRPr="00F950BC">
        <w:rPr>
          <w:rFonts w:asciiTheme="majorBidi" w:hAnsiTheme="majorBidi" w:cstheme="majorBidi"/>
          <w:sz w:val="18"/>
          <w:szCs w:val="18"/>
        </w:rPr>
        <w:t xml:space="preserve"> Iraqi </w:t>
      </w:r>
      <w:proofErr w:type="gramStart"/>
      <w:r w:rsidR="00F950BC" w:rsidRPr="00F950BC">
        <w:rPr>
          <w:rFonts w:asciiTheme="majorBidi" w:hAnsiTheme="majorBidi" w:cstheme="majorBidi"/>
          <w:sz w:val="18"/>
          <w:szCs w:val="18"/>
        </w:rPr>
        <w:t>C</w:t>
      </w:r>
      <w:r w:rsidRPr="00F950BC">
        <w:rPr>
          <w:rFonts w:asciiTheme="majorBidi" w:hAnsiTheme="majorBidi" w:cstheme="majorBidi"/>
          <w:sz w:val="18"/>
          <w:szCs w:val="18"/>
        </w:rPr>
        <w:t>enter</w:t>
      </w:r>
      <w:proofErr w:type="gramEnd"/>
      <w:r w:rsidRPr="00F950BC">
        <w:rPr>
          <w:rFonts w:asciiTheme="majorBidi" w:hAnsiTheme="majorBidi" w:cstheme="majorBidi"/>
          <w:sz w:val="18"/>
          <w:szCs w:val="18"/>
        </w:rPr>
        <w:t xml:space="preserve"> for </w:t>
      </w:r>
      <w:r w:rsidR="00F950BC" w:rsidRPr="00F950BC">
        <w:rPr>
          <w:rFonts w:asciiTheme="majorBidi" w:hAnsiTheme="majorBidi" w:cstheme="majorBidi"/>
          <w:sz w:val="18"/>
          <w:szCs w:val="18"/>
        </w:rPr>
        <w:t>C</w:t>
      </w:r>
      <w:r w:rsidRPr="00F950BC">
        <w:rPr>
          <w:rFonts w:asciiTheme="majorBidi" w:hAnsiTheme="majorBidi" w:cstheme="majorBidi"/>
          <w:sz w:val="18"/>
          <w:szCs w:val="18"/>
        </w:rPr>
        <w:t>anc</w:t>
      </w:r>
      <w:r w:rsidR="00F950BC" w:rsidRPr="00F950BC">
        <w:rPr>
          <w:rFonts w:asciiTheme="majorBidi" w:hAnsiTheme="majorBidi" w:cstheme="majorBidi"/>
          <w:sz w:val="18"/>
          <w:szCs w:val="18"/>
        </w:rPr>
        <w:t xml:space="preserve">er and Medical Genetic Research, </w:t>
      </w:r>
      <w:proofErr w:type="spellStart"/>
      <w:r w:rsidRPr="00F950BC">
        <w:rPr>
          <w:rFonts w:asciiTheme="majorBidi" w:hAnsiTheme="majorBidi" w:cstheme="majorBidi"/>
          <w:sz w:val="18"/>
          <w:szCs w:val="18"/>
        </w:rPr>
        <w:t>Mustansiriyah</w:t>
      </w:r>
      <w:proofErr w:type="spellEnd"/>
      <w:r w:rsidRPr="00F950BC">
        <w:rPr>
          <w:rFonts w:asciiTheme="majorBidi" w:hAnsiTheme="majorBidi" w:cstheme="majorBidi"/>
          <w:sz w:val="18"/>
          <w:szCs w:val="18"/>
        </w:rPr>
        <w:t xml:space="preserve"> </w:t>
      </w:r>
      <w:r w:rsidR="00F950BC" w:rsidRPr="00F950BC">
        <w:rPr>
          <w:rFonts w:asciiTheme="majorBidi" w:hAnsiTheme="majorBidi" w:cstheme="majorBidi"/>
          <w:sz w:val="18"/>
          <w:szCs w:val="18"/>
        </w:rPr>
        <w:t xml:space="preserve">University, Baghdad, </w:t>
      </w:r>
      <w:r w:rsidRPr="00F950BC">
        <w:rPr>
          <w:rFonts w:asciiTheme="majorBidi" w:hAnsiTheme="majorBidi" w:cstheme="majorBidi"/>
          <w:sz w:val="18"/>
          <w:szCs w:val="18"/>
        </w:rPr>
        <w:t>Iraq</w:t>
      </w:r>
    </w:p>
    <w:p w14:paraId="3067FD15" w14:textId="77777777" w:rsidR="00F950BC" w:rsidRPr="00650D25" w:rsidRDefault="00F950BC" w:rsidP="00F950BC">
      <w:pPr>
        <w:jc w:val="center"/>
        <w:rPr>
          <w:sz w:val="12"/>
          <w:szCs w:val="12"/>
        </w:rPr>
      </w:pPr>
    </w:p>
    <w:tbl>
      <w:tblPr>
        <w:tblStyle w:val="TableGrid"/>
        <w:tblW w:w="8845" w:type="dxa"/>
        <w:jc w:val="center"/>
        <w:tblLook w:val="04A0" w:firstRow="1" w:lastRow="0" w:firstColumn="1" w:lastColumn="0" w:noHBand="0" w:noVBand="1"/>
      </w:tblPr>
      <w:tblGrid>
        <w:gridCol w:w="2789"/>
        <w:gridCol w:w="283"/>
        <w:gridCol w:w="5773"/>
      </w:tblGrid>
      <w:tr w:rsidR="007F0D27" w:rsidRPr="007F0D27" w14:paraId="61E38159" w14:textId="77777777" w:rsidTr="003E7972">
        <w:trPr>
          <w:jc w:val="center"/>
        </w:trPr>
        <w:tc>
          <w:tcPr>
            <w:tcW w:w="2802" w:type="dxa"/>
            <w:tcBorders>
              <w:top w:val="double" w:sz="4" w:space="0" w:color="auto"/>
              <w:left w:val="nil"/>
              <w:bottom w:val="single" w:sz="4" w:space="0" w:color="auto"/>
              <w:right w:val="nil"/>
            </w:tcBorders>
          </w:tcPr>
          <w:p w14:paraId="10D3F060" w14:textId="77777777" w:rsidR="006458BE" w:rsidRPr="007F0D27" w:rsidRDefault="006458BE" w:rsidP="003E7972">
            <w:pPr>
              <w:spacing w:before="120"/>
              <w:jc w:val="both"/>
              <w:rPr>
                <w:b/>
              </w:rPr>
            </w:pPr>
            <w:r w:rsidRPr="007F0D27">
              <w:rPr>
                <w:b/>
              </w:rPr>
              <w:t>Article Info</w:t>
            </w:r>
          </w:p>
        </w:tc>
        <w:tc>
          <w:tcPr>
            <w:tcW w:w="283" w:type="dxa"/>
            <w:tcBorders>
              <w:top w:val="double" w:sz="4" w:space="0" w:color="auto"/>
              <w:left w:val="nil"/>
              <w:bottom w:val="nil"/>
              <w:right w:val="nil"/>
            </w:tcBorders>
          </w:tcPr>
          <w:p w14:paraId="2DB947DA" w14:textId="77777777" w:rsidR="006458BE" w:rsidRPr="007F0D27" w:rsidRDefault="006458BE" w:rsidP="003E7972">
            <w:pPr>
              <w:spacing w:before="120"/>
              <w:jc w:val="center"/>
            </w:pPr>
          </w:p>
        </w:tc>
        <w:tc>
          <w:tcPr>
            <w:tcW w:w="5812" w:type="dxa"/>
            <w:tcBorders>
              <w:top w:val="double" w:sz="4" w:space="0" w:color="auto"/>
              <w:left w:val="nil"/>
              <w:bottom w:val="single" w:sz="4" w:space="0" w:color="auto"/>
              <w:right w:val="nil"/>
            </w:tcBorders>
          </w:tcPr>
          <w:p w14:paraId="380639C8" w14:textId="36F04D4B" w:rsidR="006458BE" w:rsidRPr="007F0D27" w:rsidRDefault="006458BE" w:rsidP="003E7972">
            <w:pPr>
              <w:spacing w:before="120"/>
              <w:rPr>
                <w:sz w:val="24"/>
                <w:szCs w:val="24"/>
                <w:lang w:bidi="ar-IQ"/>
              </w:rPr>
            </w:pPr>
            <w:r w:rsidRPr="007F0D27">
              <w:rPr>
                <w:b/>
                <w:bCs/>
                <w:iCs/>
              </w:rPr>
              <w:t xml:space="preserve">ABSTRACT </w:t>
            </w:r>
          </w:p>
        </w:tc>
      </w:tr>
      <w:tr w:rsidR="007F0D27" w:rsidRPr="007F0D27" w14:paraId="75E2A225" w14:textId="77777777" w:rsidTr="003E7972">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0D27" w:rsidRDefault="006458BE" w:rsidP="003E7972">
            <w:pPr>
              <w:spacing w:before="120" w:after="120"/>
              <w:jc w:val="both"/>
              <w:rPr>
                <w:b/>
                <w:i/>
              </w:rPr>
            </w:pPr>
            <w:r w:rsidRPr="007F0D27">
              <w:rPr>
                <w:b/>
                <w:i/>
              </w:rPr>
              <w:t>Article history:</w:t>
            </w:r>
          </w:p>
          <w:p w14:paraId="6CB5C78D" w14:textId="77777777" w:rsidR="006458BE" w:rsidRPr="007F0D27" w:rsidRDefault="006458BE" w:rsidP="003E7972">
            <w:pPr>
              <w:jc w:val="both"/>
            </w:pPr>
            <w:r w:rsidRPr="007F0D27">
              <w:t xml:space="preserve">Received month </w:t>
            </w:r>
            <w:proofErr w:type="spellStart"/>
            <w:r w:rsidRPr="007F0D27">
              <w:t>dd</w:t>
            </w:r>
            <w:proofErr w:type="spellEnd"/>
            <w:r w:rsidRPr="007F0D27">
              <w:t xml:space="preserve">, </w:t>
            </w:r>
            <w:proofErr w:type="spellStart"/>
            <w:r w:rsidRPr="007F0D27">
              <w:t>yyyy</w:t>
            </w:r>
            <w:proofErr w:type="spellEnd"/>
          </w:p>
          <w:p w14:paraId="14B56888" w14:textId="777544C7" w:rsidR="006458BE" w:rsidRPr="007F0D27" w:rsidRDefault="006458BE" w:rsidP="003E7972">
            <w:pPr>
              <w:jc w:val="both"/>
            </w:pPr>
            <w:r w:rsidRPr="007F0D27">
              <w:t xml:space="preserve">Revised </w:t>
            </w:r>
            <w:r w:rsidR="00563FF3">
              <w:t xml:space="preserve">  </w:t>
            </w:r>
            <w:r w:rsidRPr="007F0D27">
              <w:t xml:space="preserve">month </w:t>
            </w:r>
            <w:proofErr w:type="spellStart"/>
            <w:r w:rsidRPr="007F0D27">
              <w:t>dd</w:t>
            </w:r>
            <w:proofErr w:type="spellEnd"/>
            <w:r w:rsidRPr="007F0D27">
              <w:t xml:space="preserve">, </w:t>
            </w:r>
            <w:proofErr w:type="spellStart"/>
            <w:r w:rsidRPr="007F0D27">
              <w:t>yyyy</w:t>
            </w:r>
            <w:proofErr w:type="spellEnd"/>
          </w:p>
          <w:p w14:paraId="0E77EA13" w14:textId="77777777" w:rsidR="006458BE" w:rsidRPr="007F0D27" w:rsidRDefault="006458BE" w:rsidP="003E7972">
            <w:pPr>
              <w:jc w:val="both"/>
            </w:pPr>
            <w:r w:rsidRPr="007F0D27">
              <w:t xml:space="preserve">Accepted month </w:t>
            </w:r>
            <w:proofErr w:type="spellStart"/>
            <w:r w:rsidRPr="007F0D27">
              <w:t>dd</w:t>
            </w:r>
            <w:proofErr w:type="spellEnd"/>
            <w:r w:rsidRPr="007F0D27">
              <w:t xml:space="preserve">, </w:t>
            </w:r>
            <w:proofErr w:type="spellStart"/>
            <w:r w:rsidRPr="007F0D27">
              <w:t>yyyy</w:t>
            </w:r>
            <w:proofErr w:type="spellEnd"/>
          </w:p>
          <w:p w14:paraId="295B8504" w14:textId="77777777" w:rsidR="006458BE" w:rsidRPr="007F0D27" w:rsidRDefault="006458BE" w:rsidP="003E7972">
            <w:pPr>
              <w:jc w:val="both"/>
            </w:pPr>
          </w:p>
        </w:tc>
        <w:tc>
          <w:tcPr>
            <w:tcW w:w="283" w:type="dxa"/>
            <w:vMerge w:val="restart"/>
            <w:tcBorders>
              <w:top w:val="nil"/>
              <w:left w:val="nil"/>
              <w:bottom w:val="nil"/>
              <w:right w:val="nil"/>
            </w:tcBorders>
          </w:tcPr>
          <w:p w14:paraId="370AA114" w14:textId="77777777" w:rsidR="006458BE" w:rsidRPr="007F0D27" w:rsidRDefault="006458BE" w:rsidP="003E7972">
            <w:pPr>
              <w:spacing w:before="120"/>
              <w:jc w:val="both"/>
            </w:pPr>
          </w:p>
        </w:tc>
        <w:tc>
          <w:tcPr>
            <w:tcW w:w="5812" w:type="dxa"/>
            <w:vMerge w:val="restart"/>
            <w:tcBorders>
              <w:top w:val="single" w:sz="4" w:space="0" w:color="auto"/>
              <w:left w:val="nil"/>
              <w:bottom w:val="nil"/>
              <w:right w:val="nil"/>
            </w:tcBorders>
          </w:tcPr>
          <w:p w14:paraId="2DD23FB4" w14:textId="523E2F24" w:rsidR="006458BE" w:rsidRPr="007A7788" w:rsidRDefault="00563FF3" w:rsidP="00234D13">
            <w:pPr>
              <w:spacing w:before="120"/>
              <w:jc w:val="both"/>
              <w:rPr>
                <w:iCs/>
              </w:rPr>
            </w:pPr>
            <w:r>
              <w:rPr>
                <w:iCs/>
                <w:sz w:val="18"/>
                <w:szCs w:val="18"/>
              </w:rPr>
              <w:t xml:space="preserve">             </w:t>
            </w:r>
            <w:r w:rsidR="007A7788" w:rsidRPr="007A7788">
              <w:rPr>
                <w:iCs/>
                <w:lang w:val="en-GB"/>
              </w:rPr>
              <w:t>This study examines the biochemical changes—specifically, serum urea, creatinine, and fasting blood sugar levels—in thyroid cancer patients who have contracted bacterial infections. We observed substantial increases in serum urea (p = 0.03), creatinine (p = 0.02), and fasting blood sugar (p &lt; 0.001) in infected patients using a case-control design that included 50 thyroid cancer patients and 50 healthy controls. These results suggest that bacterial infections are associated with a risk of renal and metabolic dysfunction. Nevertheless, there were no substantial alterations in liver function indicators. The significance of monitoring renal and metabolic health in thyroid cancer patients with concurrent bacterial infections is underscored by these findings.</w:t>
            </w:r>
          </w:p>
        </w:tc>
      </w:tr>
      <w:tr w:rsidR="007F0D27" w:rsidRPr="007F0D27" w14:paraId="2137C824" w14:textId="77777777" w:rsidTr="003E7972">
        <w:trPr>
          <w:trHeight w:val="1231"/>
          <w:jc w:val="center"/>
        </w:trPr>
        <w:tc>
          <w:tcPr>
            <w:tcW w:w="2802" w:type="dxa"/>
            <w:vMerge w:val="restart"/>
            <w:tcBorders>
              <w:top w:val="single" w:sz="4" w:space="0" w:color="auto"/>
              <w:left w:val="nil"/>
              <w:bottom w:val="single" w:sz="4" w:space="0" w:color="auto"/>
              <w:right w:val="nil"/>
            </w:tcBorders>
          </w:tcPr>
          <w:p w14:paraId="127369C5" w14:textId="77777777" w:rsidR="006458BE" w:rsidRPr="007F0D27" w:rsidRDefault="006458BE" w:rsidP="003E7972">
            <w:pPr>
              <w:spacing w:before="120" w:after="120"/>
              <w:jc w:val="both"/>
              <w:rPr>
                <w:b/>
                <w:i/>
              </w:rPr>
            </w:pPr>
            <w:r w:rsidRPr="007F0D27">
              <w:rPr>
                <w:b/>
                <w:i/>
              </w:rPr>
              <w:t>Keywords:</w:t>
            </w:r>
          </w:p>
          <w:p w14:paraId="731A1C98" w14:textId="77777777" w:rsidR="005246D9" w:rsidRDefault="005246D9" w:rsidP="003E7972">
            <w:pPr>
              <w:jc w:val="both"/>
            </w:pPr>
            <w:r>
              <w:t>Serum U</w:t>
            </w:r>
            <w:r w:rsidRPr="005246D9">
              <w:t xml:space="preserve">rea, </w:t>
            </w:r>
          </w:p>
          <w:p w14:paraId="6F393446" w14:textId="77777777" w:rsidR="005246D9" w:rsidRDefault="005246D9" w:rsidP="005246D9">
            <w:pPr>
              <w:jc w:val="both"/>
            </w:pPr>
            <w:r>
              <w:t>S</w:t>
            </w:r>
            <w:r w:rsidRPr="005246D9">
              <w:t xml:space="preserve">erum </w:t>
            </w:r>
            <w:r>
              <w:t>C</w:t>
            </w:r>
            <w:r w:rsidRPr="005246D9">
              <w:t xml:space="preserve">reatinine, </w:t>
            </w:r>
          </w:p>
          <w:p w14:paraId="6F7D22C0" w14:textId="77777777" w:rsidR="005246D9" w:rsidRDefault="005246D9" w:rsidP="005246D9">
            <w:pPr>
              <w:jc w:val="both"/>
            </w:pPr>
            <w:r>
              <w:t>F</w:t>
            </w:r>
            <w:r w:rsidRPr="005246D9">
              <w:t xml:space="preserve">asting </w:t>
            </w:r>
            <w:r>
              <w:t>B</w:t>
            </w:r>
            <w:r w:rsidRPr="005246D9">
              <w:t xml:space="preserve">lood </w:t>
            </w:r>
            <w:r>
              <w:t>S</w:t>
            </w:r>
            <w:r w:rsidRPr="005246D9">
              <w:t xml:space="preserve">ugar, </w:t>
            </w:r>
          </w:p>
          <w:p w14:paraId="11519CE5" w14:textId="77777777" w:rsidR="005246D9" w:rsidRDefault="005246D9" w:rsidP="005246D9">
            <w:pPr>
              <w:jc w:val="both"/>
            </w:pPr>
            <w:r>
              <w:t>B</w:t>
            </w:r>
            <w:r w:rsidRPr="005246D9">
              <w:t xml:space="preserve">acterial </w:t>
            </w:r>
            <w:r>
              <w:t>I</w:t>
            </w:r>
            <w:r w:rsidRPr="005246D9">
              <w:t xml:space="preserve">nfection, </w:t>
            </w:r>
          </w:p>
          <w:p w14:paraId="23C31D49" w14:textId="0858E854" w:rsidR="006458BE" w:rsidRPr="007F0D27" w:rsidRDefault="005246D9" w:rsidP="005246D9">
            <w:pPr>
              <w:jc w:val="both"/>
              <w:rPr>
                <w:b/>
                <w:i/>
              </w:rPr>
            </w:pPr>
            <w:r>
              <w:t>T</w:t>
            </w:r>
            <w:r w:rsidRPr="005246D9">
              <w:t xml:space="preserve">hyroid </w:t>
            </w:r>
            <w:r>
              <w:t>C</w:t>
            </w:r>
            <w:r w:rsidRPr="005246D9">
              <w:t>ancer.</w:t>
            </w:r>
            <w:r>
              <w:t xml:space="preserve"> </w:t>
            </w:r>
          </w:p>
        </w:tc>
        <w:tc>
          <w:tcPr>
            <w:tcW w:w="283" w:type="dxa"/>
            <w:vMerge/>
            <w:tcBorders>
              <w:top w:val="nil"/>
              <w:left w:val="nil"/>
              <w:bottom w:val="nil"/>
              <w:right w:val="nil"/>
            </w:tcBorders>
          </w:tcPr>
          <w:p w14:paraId="0F4733D1" w14:textId="77777777" w:rsidR="006458BE" w:rsidRPr="007F0D27" w:rsidRDefault="006458BE" w:rsidP="003E7972">
            <w:pPr>
              <w:spacing w:before="120"/>
              <w:jc w:val="both"/>
            </w:pPr>
          </w:p>
        </w:tc>
        <w:tc>
          <w:tcPr>
            <w:tcW w:w="5812" w:type="dxa"/>
            <w:vMerge/>
            <w:tcBorders>
              <w:top w:val="nil"/>
              <w:left w:val="nil"/>
              <w:bottom w:val="nil"/>
              <w:right w:val="nil"/>
            </w:tcBorders>
          </w:tcPr>
          <w:p w14:paraId="399B988A" w14:textId="77777777" w:rsidR="006458BE" w:rsidRPr="007F0D27" w:rsidRDefault="006458BE" w:rsidP="003E7972">
            <w:pPr>
              <w:spacing w:before="120"/>
              <w:jc w:val="both"/>
              <w:rPr>
                <w:iCs/>
                <w:sz w:val="18"/>
                <w:szCs w:val="18"/>
              </w:rPr>
            </w:pPr>
          </w:p>
        </w:tc>
      </w:tr>
      <w:tr w:rsidR="007F0D27" w:rsidRPr="007F0D27" w14:paraId="5336AAF2" w14:textId="77777777" w:rsidTr="003E7972">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0D27" w:rsidRDefault="006458BE" w:rsidP="003E7972">
            <w:pPr>
              <w:spacing w:before="120" w:after="120"/>
              <w:jc w:val="both"/>
              <w:rPr>
                <w:b/>
                <w:i/>
              </w:rPr>
            </w:pPr>
          </w:p>
        </w:tc>
        <w:tc>
          <w:tcPr>
            <w:tcW w:w="283" w:type="dxa"/>
            <w:vMerge/>
            <w:tcBorders>
              <w:top w:val="nil"/>
              <w:left w:val="nil"/>
              <w:bottom w:val="nil"/>
              <w:right w:val="nil"/>
            </w:tcBorders>
          </w:tcPr>
          <w:p w14:paraId="1F173276" w14:textId="77777777" w:rsidR="006458BE" w:rsidRPr="007F0D27" w:rsidRDefault="006458BE" w:rsidP="003E7972">
            <w:pPr>
              <w:spacing w:before="120"/>
              <w:jc w:val="both"/>
            </w:pPr>
          </w:p>
        </w:tc>
        <w:tc>
          <w:tcPr>
            <w:tcW w:w="5812" w:type="dxa"/>
            <w:tcBorders>
              <w:top w:val="nil"/>
              <w:left w:val="nil"/>
              <w:bottom w:val="single" w:sz="4" w:space="0" w:color="auto"/>
              <w:right w:val="nil"/>
            </w:tcBorders>
          </w:tcPr>
          <w:p w14:paraId="57F7A9B7" w14:textId="77777777" w:rsidR="006458BE" w:rsidRPr="007F0D27" w:rsidRDefault="006458BE" w:rsidP="003E7972">
            <w:pPr>
              <w:spacing w:before="120" w:after="120"/>
              <w:jc w:val="right"/>
              <w:rPr>
                <w:i/>
                <w:iCs/>
                <w:sz w:val="18"/>
                <w:szCs w:val="18"/>
              </w:rPr>
            </w:pPr>
          </w:p>
        </w:tc>
      </w:tr>
      <w:tr w:rsidR="006458BE" w:rsidRPr="007F0D27" w14:paraId="282F1331" w14:textId="77777777" w:rsidTr="003E7972">
        <w:trPr>
          <w:jc w:val="center"/>
        </w:trPr>
        <w:tc>
          <w:tcPr>
            <w:tcW w:w="8897" w:type="dxa"/>
            <w:gridSpan w:val="3"/>
            <w:tcBorders>
              <w:top w:val="nil"/>
              <w:left w:val="nil"/>
              <w:bottom w:val="double" w:sz="4" w:space="0" w:color="auto"/>
              <w:right w:val="nil"/>
            </w:tcBorders>
          </w:tcPr>
          <w:p w14:paraId="7348DB1B" w14:textId="77777777" w:rsidR="006458BE" w:rsidRPr="007F0D27" w:rsidRDefault="006458BE" w:rsidP="003E7972">
            <w:pPr>
              <w:spacing w:before="120" w:after="120"/>
              <w:rPr>
                <w:b/>
                <w:i/>
              </w:rPr>
            </w:pPr>
            <w:r w:rsidRPr="007F0D27">
              <w:rPr>
                <w:b/>
                <w:i/>
              </w:rPr>
              <w:t>Corresponding Author:</w:t>
            </w:r>
          </w:p>
          <w:p w14:paraId="4D0A88CE" w14:textId="510534C6" w:rsidR="006458BE" w:rsidRPr="007F0D27" w:rsidRDefault="007A7788" w:rsidP="000970D6">
            <w:pPr>
              <w:spacing w:after="120"/>
            </w:pPr>
            <w:r>
              <w:t xml:space="preserve">* </w:t>
            </w:r>
            <w:proofErr w:type="spellStart"/>
            <w:r w:rsidRPr="007A7788">
              <w:t>Alaa</w:t>
            </w:r>
            <w:proofErr w:type="spellEnd"/>
            <w:r w:rsidRPr="007A7788">
              <w:t xml:space="preserve"> </w:t>
            </w:r>
            <w:proofErr w:type="spellStart"/>
            <w:r w:rsidRPr="007A7788">
              <w:t>Saadi</w:t>
            </w:r>
            <w:proofErr w:type="spellEnd"/>
            <w:r w:rsidRPr="007A7788">
              <w:t xml:space="preserve"> </w:t>
            </w:r>
            <w:proofErr w:type="spellStart"/>
            <w:r w:rsidRPr="007A7788">
              <w:t>Abbood</w:t>
            </w:r>
            <w:proofErr w:type="spellEnd"/>
            <w:r w:rsidR="006458BE" w:rsidRPr="007F0D27">
              <w:br/>
            </w:r>
            <w:r w:rsidR="009363A0" w:rsidRPr="009363A0">
              <w:t xml:space="preserve">Iraqi Center for Cancer and Medical Genetic Research, </w:t>
            </w:r>
            <w:proofErr w:type="spellStart"/>
            <w:r w:rsidR="009363A0" w:rsidRPr="009363A0">
              <w:t>Mustansiriyah</w:t>
            </w:r>
            <w:proofErr w:type="spellEnd"/>
            <w:r w:rsidR="009363A0" w:rsidRPr="009363A0">
              <w:t xml:space="preserve"> University, Baghdad, Iraq</w:t>
            </w:r>
            <w:r w:rsidR="006458BE" w:rsidRPr="007F0D27">
              <w:br/>
              <w:t xml:space="preserve">Email: </w:t>
            </w:r>
            <w:hyperlink r:id="rId9" w:history="1">
              <w:r w:rsidR="009363A0" w:rsidRPr="00374EC9">
                <w:rPr>
                  <w:rStyle w:val="Hyperlink"/>
                </w:rPr>
                <w:t>Alaasabbood@uomustansiriyah.edu.iq</w:t>
              </w:r>
            </w:hyperlink>
            <w:r w:rsidR="009363A0">
              <w:t xml:space="preserve"> </w:t>
            </w:r>
          </w:p>
        </w:tc>
      </w:tr>
    </w:tbl>
    <w:p w14:paraId="30FFF5CD" w14:textId="77777777" w:rsidR="006458BE" w:rsidRPr="00782B7A" w:rsidRDefault="006458BE" w:rsidP="006458BE">
      <w:pPr>
        <w:jc w:val="both"/>
        <w:rPr>
          <w:sz w:val="12"/>
          <w:szCs w:val="12"/>
        </w:rPr>
      </w:pPr>
    </w:p>
    <w:p w14:paraId="66857962" w14:textId="77777777" w:rsidR="006458BE" w:rsidRPr="00782B7A" w:rsidRDefault="006458BE" w:rsidP="006458BE">
      <w:pPr>
        <w:jc w:val="both"/>
        <w:rPr>
          <w:sz w:val="12"/>
          <w:szCs w:val="12"/>
        </w:rPr>
      </w:pPr>
    </w:p>
    <w:p w14:paraId="298EA27C" w14:textId="5FF1257B" w:rsidR="006458BE" w:rsidRPr="00782B7A" w:rsidRDefault="00782B7A" w:rsidP="00782B7A">
      <w:pPr>
        <w:tabs>
          <w:tab w:val="left" w:pos="426"/>
        </w:tabs>
        <w:rPr>
          <w:b/>
          <w:bCs/>
          <w:sz w:val="22"/>
          <w:szCs w:val="22"/>
          <w:lang w:val="id-ID"/>
        </w:rPr>
      </w:pPr>
      <w:r w:rsidRPr="00782B7A">
        <w:rPr>
          <w:b/>
          <w:bCs/>
          <w:sz w:val="22"/>
          <w:szCs w:val="22"/>
          <w:lang w:val="en-GB"/>
        </w:rPr>
        <w:t xml:space="preserve">1- </w:t>
      </w:r>
      <w:r w:rsidRPr="00782B7A">
        <w:rPr>
          <w:b/>
          <w:bCs/>
          <w:sz w:val="22"/>
          <w:szCs w:val="22"/>
          <w:lang w:val="id-ID"/>
        </w:rPr>
        <w:t>INTRODUCTION</w:t>
      </w:r>
      <w:r w:rsidRPr="00782B7A">
        <w:rPr>
          <w:b/>
          <w:bCs/>
          <w:sz w:val="22"/>
          <w:szCs w:val="22"/>
        </w:rPr>
        <w:t xml:space="preserve"> </w:t>
      </w:r>
    </w:p>
    <w:p w14:paraId="4137C1FD" w14:textId="77777777" w:rsidR="00782B7A" w:rsidRDefault="00782B7A" w:rsidP="00782B7A">
      <w:pPr>
        <w:jc w:val="both"/>
        <w:rPr>
          <w:sz w:val="12"/>
          <w:szCs w:val="12"/>
          <w:lang w:val="en-AE"/>
        </w:rPr>
      </w:pPr>
      <w:bookmarkStart w:id="0" w:name="_Hlk80000657"/>
      <w:bookmarkStart w:id="1" w:name="_Hlk78354294"/>
    </w:p>
    <w:p w14:paraId="3F46F028" w14:textId="77777777" w:rsidR="00D47E9B" w:rsidRPr="00D47E9B" w:rsidRDefault="00D47E9B" w:rsidP="00782B7A">
      <w:pPr>
        <w:jc w:val="both"/>
        <w:rPr>
          <w:sz w:val="12"/>
          <w:szCs w:val="12"/>
          <w:lang w:val="en-AE"/>
        </w:rPr>
      </w:pPr>
    </w:p>
    <w:p w14:paraId="014BBF49" w14:textId="308B8303" w:rsidR="00D47E9B" w:rsidRPr="00D47E9B" w:rsidRDefault="00D47E9B" w:rsidP="00D47E9B">
      <w:pPr>
        <w:ind w:firstLine="720"/>
        <w:jc w:val="both"/>
        <w:rPr>
          <w:lang w:val="en-AE"/>
        </w:rPr>
      </w:pPr>
      <w:r w:rsidRPr="00D47E9B">
        <w:rPr>
          <w:rFonts w:eastAsia="Calibri"/>
        </w:rPr>
        <w:t>Thyroid cancer is a common endocrine malignancy affected by genetic, environmental, and infectious risk factors. Recent evidence indicates that concurrent bacterial infections may aggravate biochemical abnormalities in these patients</w:t>
      </w:r>
      <w:r>
        <w:rPr>
          <w:rFonts w:eastAsia="Calibri"/>
          <w:lang w:val="en-AE"/>
        </w:rPr>
        <w:t xml:space="preserve"> </w:t>
      </w:r>
      <w:r w:rsidRPr="00D47E9B">
        <w:rPr>
          <w:rFonts w:eastAsia="Calibri"/>
        </w:rPr>
        <w:t xml:space="preserve">[1]. Specifically, changes in serum urea and creatinine concentrations may indicate renal stress or impairment, whereas increased fasting blood glucose levels imply metabolic stress [2]. </w:t>
      </w:r>
      <w:r w:rsidRPr="00D47E9B">
        <w:t xml:space="preserve">Cancer of the thyroid is the most prominent endocrine malignancy, and its incidence is increasing </w:t>
      </w:r>
      <w:proofErr w:type="spellStart"/>
      <w:r w:rsidRPr="00D47E9B">
        <w:t>worldwide</w:t>
      </w:r>
      <w:proofErr w:type="gramStart"/>
      <w:r w:rsidRPr="00D47E9B">
        <w:t>,The</w:t>
      </w:r>
      <w:proofErr w:type="spellEnd"/>
      <w:proofErr w:type="gramEnd"/>
      <w:r w:rsidRPr="00D47E9B">
        <w:t xml:space="preserve"> management of thyroid cancer can be complicated by systemic alterations, including hormonal imbalance, metabolic stress, and impaired immune surveillance, despite the fact that it is generally associated with a favorable prognosis [3]. These factors may increase the likelihood of opportunistic bacterial infections in patients, particularly during or after treatments such as surgery, radioiodine therapy, or chemotherapy [4].</w:t>
      </w:r>
      <w:r>
        <w:rPr>
          <w:lang w:val="en-AE"/>
        </w:rPr>
        <w:t xml:space="preserve"> </w:t>
      </w:r>
    </w:p>
    <w:p w14:paraId="2A000D15" w14:textId="77777777" w:rsidR="00D47E9B" w:rsidRPr="00D47E9B" w:rsidRDefault="00D47E9B" w:rsidP="00D47E9B">
      <w:pPr>
        <w:jc w:val="both"/>
        <w:rPr>
          <w:sz w:val="12"/>
          <w:szCs w:val="12"/>
          <w:lang w:val="en-AE"/>
        </w:rPr>
      </w:pPr>
    </w:p>
    <w:p w14:paraId="51F61515" w14:textId="2EB1B765" w:rsidR="00D47E9B" w:rsidRPr="00D47E9B" w:rsidRDefault="00D47E9B" w:rsidP="00D47E9B">
      <w:pPr>
        <w:spacing w:after="100" w:afterAutospacing="1"/>
        <w:jc w:val="both"/>
        <w:rPr>
          <w:rFonts w:eastAsia="Calibri"/>
          <w:lang w:val="en-AE" w:bidi="ar-IQ"/>
        </w:rPr>
      </w:pPr>
      <w:r w:rsidRPr="00D47E9B">
        <w:t>Bacterial infections in cancer patients are clinically significant due to their ability to exacerbate pre-existing physiological stress, disrupt therapeutic regimens, and contribute to morbidity. Systemic inflammation and sepsis can be precipitated by infections, which can result in organ dysfunction, particularly renal impairment and metabolic dysregulation [5]. The kidneys are particularly vulnerable because they are essential for maintaining homeostasis through fluid balance, waste excretion, and electrolyte regulation [6]. Liver enzymes, glucose levels, and lipid profiles may all change in response to infection-induced metabolic changes,</w:t>
      </w:r>
      <w:r w:rsidRPr="00D47E9B">
        <w:rPr>
          <w:rFonts w:eastAsia="Calibri"/>
        </w:rPr>
        <w:t xml:space="preserve"> </w:t>
      </w:r>
      <w:r w:rsidR="008153BF" w:rsidRPr="00D47E9B">
        <w:t>regarding</w:t>
      </w:r>
      <w:r w:rsidRPr="00D47E9B">
        <w:t xml:space="preserve"> these </w:t>
      </w:r>
      <w:proofErr w:type="gramStart"/>
      <w:r w:rsidRPr="00D47E9B">
        <w:t>concerns,</w:t>
      </w:r>
      <w:proofErr w:type="gramEnd"/>
      <w:r w:rsidRPr="00D47E9B">
        <w:t xml:space="preserve"> there is not a lot of data concerning the precise effects of bacterial infections on renal and metabolic biochemical parameters in patients with thyroid cancer</w:t>
      </w:r>
      <w:r>
        <w:rPr>
          <w:lang w:val="en-AE"/>
        </w:rPr>
        <w:t xml:space="preserve"> </w:t>
      </w:r>
      <w:r w:rsidRPr="00D47E9B">
        <w:t>[7]. Comprehending these modifications is crucial for the early identification of complications, directing supportive treatment, and enhancing overall clinical results [8]. This study examined how bacterial infections affect biochemical functions and markers in cancer patients to understand how infection, cancer, and general physiological functions interact. We show that high rates of infection affect health and metabolism, including healthcare outcomes, by comparing biochemical markers in cancer and diabetes patients with bacterial and other infections.</w:t>
      </w:r>
      <w:r>
        <w:rPr>
          <w:lang w:val="en-AE"/>
        </w:rPr>
        <w:t xml:space="preserve"> </w:t>
      </w:r>
    </w:p>
    <w:p w14:paraId="680A14E2" w14:textId="626FE62D" w:rsidR="008D2670" w:rsidRDefault="008D2670" w:rsidP="008D2670">
      <w:pPr>
        <w:tabs>
          <w:tab w:val="left" w:pos="426"/>
        </w:tabs>
        <w:rPr>
          <w:b/>
          <w:bCs/>
          <w:sz w:val="22"/>
          <w:szCs w:val="22"/>
          <w:lang w:val="en-GB"/>
        </w:rPr>
      </w:pPr>
      <w:bookmarkStart w:id="2" w:name="_Hlk198057872"/>
      <w:r w:rsidRPr="008D2670">
        <w:rPr>
          <w:b/>
          <w:bCs/>
          <w:sz w:val="22"/>
          <w:szCs w:val="22"/>
          <w:lang w:val="en-GB"/>
        </w:rPr>
        <w:lastRenderedPageBreak/>
        <w:t xml:space="preserve">2- </w:t>
      </w:r>
      <w:r w:rsidR="00D47E9B">
        <w:rPr>
          <w:b/>
          <w:bCs/>
          <w:sz w:val="22"/>
          <w:szCs w:val="22"/>
          <w:lang w:val="en-AE"/>
        </w:rPr>
        <w:t xml:space="preserve">MATERIALS AND </w:t>
      </w:r>
      <w:r w:rsidR="00247B8B" w:rsidRPr="008D2670">
        <w:rPr>
          <w:b/>
          <w:bCs/>
          <w:sz w:val="22"/>
          <w:szCs w:val="22"/>
          <w:lang w:val="id-ID"/>
        </w:rPr>
        <w:t>METHOD</w:t>
      </w:r>
      <w:bookmarkEnd w:id="2"/>
      <w:r>
        <w:rPr>
          <w:b/>
          <w:bCs/>
          <w:sz w:val="22"/>
          <w:szCs w:val="22"/>
          <w:lang w:val="en-GB"/>
        </w:rPr>
        <w:t xml:space="preserve"> </w:t>
      </w:r>
    </w:p>
    <w:p w14:paraId="77F2935B" w14:textId="77777777" w:rsidR="008D2670" w:rsidRPr="008D2670" w:rsidRDefault="008D2670" w:rsidP="008D2670">
      <w:pPr>
        <w:tabs>
          <w:tab w:val="left" w:pos="426"/>
        </w:tabs>
        <w:rPr>
          <w:b/>
          <w:bCs/>
          <w:sz w:val="12"/>
          <w:szCs w:val="12"/>
          <w:lang w:val="en-GB"/>
        </w:rPr>
      </w:pPr>
    </w:p>
    <w:p w14:paraId="5F7BD4CA" w14:textId="4FFB05D9" w:rsidR="00D47E9B" w:rsidRPr="00D47E9B" w:rsidRDefault="00D47E9B" w:rsidP="00D47E9B">
      <w:pPr>
        <w:jc w:val="both"/>
        <w:rPr>
          <w:rFonts w:eastAsia="Calibri"/>
          <w:b/>
          <w:bCs/>
          <w:lang w:val="en-AE" w:bidi="ar-IQ"/>
        </w:rPr>
      </w:pPr>
      <w:r w:rsidRPr="00D47E9B">
        <w:rPr>
          <w:rFonts w:eastAsia="Calibri"/>
          <w:b/>
          <w:bCs/>
          <w:lang w:bidi="ar-IQ"/>
        </w:rPr>
        <w:t>Participants and Study Design</w:t>
      </w:r>
      <w:r>
        <w:rPr>
          <w:rFonts w:eastAsia="Calibri"/>
          <w:b/>
          <w:bCs/>
          <w:lang w:val="en-AE" w:bidi="ar-IQ"/>
        </w:rPr>
        <w:t xml:space="preserve"> </w:t>
      </w:r>
    </w:p>
    <w:p w14:paraId="461089B4" w14:textId="77777777" w:rsidR="0018781E" w:rsidRPr="0018781E" w:rsidRDefault="0018781E" w:rsidP="0018781E">
      <w:pPr>
        <w:jc w:val="both"/>
        <w:rPr>
          <w:rFonts w:eastAsia="Calibri"/>
          <w:sz w:val="8"/>
          <w:szCs w:val="8"/>
          <w:lang w:val="en-AE" w:bidi="ar-IQ"/>
        </w:rPr>
      </w:pPr>
    </w:p>
    <w:p w14:paraId="2C9F3000" w14:textId="22245248" w:rsidR="00D47E9B" w:rsidRPr="00D47E9B" w:rsidRDefault="00D47E9B" w:rsidP="0018781E">
      <w:pPr>
        <w:jc w:val="both"/>
        <w:rPr>
          <w:rFonts w:eastAsia="Calibri"/>
          <w:lang w:bidi="ar-IQ"/>
        </w:rPr>
      </w:pPr>
      <w:r w:rsidRPr="00D47E9B">
        <w:rPr>
          <w:rFonts w:eastAsia="Calibri"/>
          <w:lang w:bidi="ar-IQ"/>
        </w:rPr>
        <w:t xml:space="preserve">Fifty thyroid cancer </w:t>
      </w:r>
      <w:r w:rsidR="0018781E">
        <w:rPr>
          <w:rFonts w:eastAsia="Calibri"/>
          <w:lang w:bidi="ar-IQ"/>
        </w:rPr>
        <w:t>confirmed</w:t>
      </w:r>
      <w:r w:rsidR="0018781E">
        <w:rPr>
          <w:rFonts w:eastAsia="Calibri"/>
          <w:lang w:val="en-AE" w:bidi="ar-IQ"/>
        </w:rPr>
        <w:t xml:space="preserve"> </w:t>
      </w:r>
      <w:r w:rsidRPr="00D47E9B">
        <w:rPr>
          <w:rFonts w:eastAsia="Calibri"/>
          <w:lang w:bidi="ar-IQ"/>
        </w:rPr>
        <w:t>patients and fifty age- and sex-matched healthy controls made up the 100 participants in total.  Between May 2024 and February 2025, the participants were gathered from [Al-Andalus Hospital, Al-</w:t>
      </w:r>
      <w:proofErr w:type="spellStart"/>
      <w:r w:rsidRPr="00D47E9B">
        <w:rPr>
          <w:rFonts w:eastAsia="Calibri"/>
          <w:lang w:bidi="ar-IQ"/>
        </w:rPr>
        <w:t>Dawli</w:t>
      </w:r>
      <w:proofErr w:type="spellEnd"/>
      <w:r w:rsidRPr="00D47E9B">
        <w:rPr>
          <w:rFonts w:eastAsia="Calibri"/>
          <w:lang w:bidi="ar-IQ"/>
        </w:rPr>
        <w:t xml:space="preserve"> Al-Ahli Hospital, and Al-Amal National Oncology Hospital]. </w:t>
      </w:r>
    </w:p>
    <w:p w14:paraId="72012D5D" w14:textId="66754648" w:rsidR="00D47E9B" w:rsidRPr="00D47E9B" w:rsidRDefault="00D47E9B" w:rsidP="0018781E">
      <w:pPr>
        <w:tabs>
          <w:tab w:val="left" w:pos="3684"/>
        </w:tabs>
        <w:jc w:val="both"/>
        <w:rPr>
          <w:rFonts w:eastAsia="Calibri"/>
          <w:b/>
          <w:bCs/>
          <w:sz w:val="12"/>
          <w:szCs w:val="12"/>
          <w:lang w:val="en-AE" w:bidi="ar-IQ"/>
        </w:rPr>
      </w:pPr>
    </w:p>
    <w:p w14:paraId="32363FEC" w14:textId="51C9180D" w:rsidR="00D47E9B" w:rsidRDefault="00D47E9B" w:rsidP="0018781E">
      <w:pPr>
        <w:jc w:val="both"/>
        <w:rPr>
          <w:rFonts w:eastAsia="Calibri"/>
          <w:b/>
          <w:bCs/>
          <w:lang w:val="en-AE" w:bidi="ar-IQ"/>
        </w:rPr>
      </w:pPr>
      <w:r w:rsidRPr="00D47E9B">
        <w:rPr>
          <w:rFonts w:eastAsia="Calibri"/>
          <w:b/>
          <w:bCs/>
          <w:lang w:bidi="ar-IQ"/>
        </w:rPr>
        <w:t>Collection and Processing of Samples</w:t>
      </w:r>
      <w:r w:rsidR="0018781E">
        <w:rPr>
          <w:rFonts w:eastAsia="Calibri"/>
          <w:b/>
          <w:bCs/>
          <w:lang w:val="en-AE" w:bidi="ar-IQ"/>
        </w:rPr>
        <w:t xml:space="preserve"> </w:t>
      </w:r>
    </w:p>
    <w:p w14:paraId="037F9D7B" w14:textId="77777777" w:rsidR="0018781E" w:rsidRPr="00D47E9B" w:rsidRDefault="0018781E" w:rsidP="0018781E">
      <w:pPr>
        <w:jc w:val="both"/>
        <w:rPr>
          <w:rFonts w:eastAsia="Calibri"/>
          <w:b/>
          <w:bCs/>
          <w:sz w:val="8"/>
          <w:szCs w:val="8"/>
          <w:lang w:val="en-AE" w:bidi="ar-IQ"/>
        </w:rPr>
      </w:pPr>
    </w:p>
    <w:p w14:paraId="663F133A" w14:textId="020FEEA7" w:rsidR="00D47E9B" w:rsidRPr="00D47E9B" w:rsidRDefault="00D47E9B" w:rsidP="0018781E">
      <w:pPr>
        <w:jc w:val="both"/>
        <w:rPr>
          <w:rFonts w:eastAsia="Calibri"/>
          <w:b/>
          <w:bCs/>
          <w:lang w:val="en-AE" w:bidi="ar-IQ"/>
        </w:rPr>
      </w:pPr>
      <w:r w:rsidRPr="00D47E9B">
        <w:rPr>
          <w:rFonts w:eastAsia="Calibri"/>
          <w:lang w:bidi="ar-IQ"/>
        </w:rPr>
        <w:t xml:space="preserve">Five </w:t>
      </w:r>
      <w:proofErr w:type="spellStart"/>
      <w:r w:rsidRPr="00D47E9B">
        <w:rPr>
          <w:rFonts w:eastAsia="Calibri"/>
          <w:lang w:bidi="ar-IQ"/>
        </w:rPr>
        <w:t>millilitres</w:t>
      </w:r>
      <w:proofErr w:type="spellEnd"/>
      <w:r w:rsidRPr="00D47E9B">
        <w:rPr>
          <w:rFonts w:eastAsia="Calibri"/>
          <w:lang w:bidi="ar-IQ"/>
        </w:rPr>
        <w:t xml:space="preserve"> of venous blood samples were obtained from each participant under sterile circumstances.  The samples underwent centrifugation at 3000 rpm for 10 minutes, after which the serum was isolated and preserved at -20°C until analysis</w:t>
      </w:r>
      <w:r w:rsidRPr="00D47E9B">
        <w:rPr>
          <w:rFonts w:eastAsia="Calibri"/>
          <w:b/>
          <w:bCs/>
          <w:lang w:bidi="ar-IQ"/>
        </w:rPr>
        <w:t>.</w:t>
      </w:r>
      <w:r w:rsidR="0018781E">
        <w:rPr>
          <w:rFonts w:eastAsia="Calibri"/>
          <w:b/>
          <w:bCs/>
          <w:lang w:val="en-AE" w:bidi="ar-IQ"/>
        </w:rPr>
        <w:t xml:space="preserve"> </w:t>
      </w:r>
    </w:p>
    <w:p w14:paraId="1CD197C0" w14:textId="77777777" w:rsidR="00D47E9B" w:rsidRPr="00D47E9B" w:rsidRDefault="00D47E9B" w:rsidP="0018781E">
      <w:pPr>
        <w:jc w:val="both"/>
        <w:rPr>
          <w:rFonts w:eastAsia="Calibri"/>
          <w:b/>
          <w:bCs/>
          <w:sz w:val="12"/>
          <w:szCs w:val="12"/>
          <w:lang w:val="en-AE" w:bidi="ar-IQ"/>
        </w:rPr>
      </w:pPr>
    </w:p>
    <w:p w14:paraId="2FB76802" w14:textId="622CE18B" w:rsidR="00D47E9B" w:rsidRDefault="00D47E9B" w:rsidP="0018781E">
      <w:pPr>
        <w:jc w:val="both"/>
        <w:rPr>
          <w:rFonts w:eastAsia="Calibri"/>
          <w:b/>
          <w:bCs/>
          <w:lang w:val="en-AE" w:bidi="ar-IQ"/>
        </w:rPr>
      </w:pPr>
      <w:r w:rsidRPr="00D47E9B">
        <w:rPr>
          <w:rFonts w:eastAsia="Calibri"/>
          <w:b/>
          <w:bCs/>
          <w:lang w:bidi="ar-IQ"/>
        </w:rPr>
        <w:t>Analysis of Biochemistry</w:t>
      </w:r>
      <w:r w:rsidR="0018781E">
        <w:rPr>
          <w:rFonts w:eastAsia="Calibri"/>
          <w:b/>
          <w:bCs/>
          <w:lang w:val="en-AE" w:bidi="ar-IQ"/>
        </w:rPr>
        <w:t xml:space="preserve"> </w:t>
      </w:r>
    </w:p>
    <w:p w14:paraId="14804241" w14:textId="77777777" w:rsidR="0018781E" w:rsidRPr="00D47E9B" w:rsidRDefault="0018781E" w:rsidP="0018781E">
      <w:pPr>
        <w:jc w:val="both"/>
        <w:rPr>
          <w:rFonts w:eastAsia="Calibri"/>
          <w:b/>
          <w:bCs/>
          <w:sz w:val="8"/>
          <w:szCs w:val="8"/>
          <w:lang w:val="en-AE" w:bidi="ar-IQ"/>
        </w:rPr>
      </w:pPr>
    </w:p>
    <w:p w14:paraId="2A1DE49A" w14:textId="110D7061" w:rsidR="00D47E9B" w:rsidRPr="00D47E9B" w:rsidRDefault="00D47E9B" w:rsidP="0018781E">
      <w:pPr>
        <w:jc w:val="both"/>
        <w:rPr>
          <w:rFonts w:eastAsia="Calibri"/>
          <w:lang w:val="en-AE" w:bidi="ar-IQ"/>
        </w:rPr>
      </w:pPr>
      <w:r w:rsidRPr="00D47E9B">
        <w:rPr>
          <w:rFonts w:eastAsia="Calibri"/>
          <w:lang w:bidi="ar-IQ"/>
        </w:rPr>
        <w:t xml:space="preserve">Using commercially available test kits and an automated biochemical analyzer (Roche </w:t>
      </w:r>
      <w:proofErr w:type="spellStart"/>
      <w:r w:rsidRPr="00D47E9B">
        <w:rPr>
          <w:rFonts w:eastAsia="Calibri"/>
          <w:lang w:bidi="ar-IQ"/>
        </w:rPr>
        <w:t>cobas</w:t>
      </w:r>
      <w:proofErr w:type="spellEnd"/>
      <w:r w:rsidRPr="00D47E9B">
        <w:rPr>
          <w:rFonts w:eastAsia="Calibri"/>
          <w:lang w:bidi="ar-IQ"/>
        </w:rPr>
        <w:t xml:space="preserve"> c111), the serum levels of creatinine and urea were determined.  The glucose oxidase technique was also used to measure the levels of fasting blood sugar (FBS).  To investigate possible hepatic involvement, liver function indicators such as aspartate aminotransferase (AST) and alanine aminotransferase (ALT) were measured.</w:t>
      </w:r>
      <w:r w:rsidR="0018781E">
        <w:rPr>
          <w:rFonts w:eastAsia="Calibri"/>
          <w:lang w:val="en-AE" w:bidi="ar-IQ"/>
        </w:rPr>
        <w:t xml:space="preserve"> </w:t>
      </w:r>
    </w:p>
    <w:p w14:paraId="57D7B38C" w14:textId="77777777" w:rsidR="00D47E9B" w:rsidRPr="00D47E9B" w:rsidRDefault="00D47E9B" w:rsidP="0018781E">
      <w:pPr>
        <w:jc w:val="both"/>
        <w:rPr>
          <w:rFonts w:eastAsia="Calibri"/>
          <w:b/>
          <w:bCs/>
          <w:sz w:val="12"/>
          <w:szCs w:val="12"/>
          <w:lang w:bidi="ar-IQ"/>
        </w:rPr>
      </w:pPr>
    </w:p>
    <w:p w14:paraId="090FE644" w14:textId="1221835A" w:rsidR="00D47E9B" w:rsidRDefault="00D47E9B" w:rsidP="0018781E">
      <w:pPr>
        <w:jc w:val="both"/>
        <w:rPr>
          <w:rFonts w:eastAsia="Calibri"/>
          <w:b/>
          <w:bCs/>
          <w:lang w:val="en-AE" w:bidi="ar-IQ"/>
        </w:rPr>
      </w:pPr>
      <w:r w:rsidRPr="00D47E9B">
        <w:rPr>
          <w:rFonts w:eastAsia="Calibri"/>
          <w:b/>
          <w:bCs/>
          <w:lang w:bidi="ar-IQ"/>
        </w:rPr>
        <w:t>Microbiological Examination</w:t>
      </w:r>
      <w:r w:rsidR="0018781E">
        <w:rPr>
          <w:rFonts w:eastAsia="Calibri"/>
          <w:b/>
          <w:bCs/>
          <w:lang w:val="en-AE" w:bidi="ar-IQ"/>
        </w:rPr>
        <w:t xml:space="preserve"> </w:t>
      </w:r>
    </w:p>
    <w:p w14:paraId="72AAF031" w14:textId="77777777" w:rsidR="0018781E" w:rsidRPr="00D47E9B" w:rsidRDefault="0018781E" w:rsidP="0018781E">
      <w:pPr>
        <w:jc w:val="both"/>
        <w:rPr>
          <w:rFonts w:eastAsia="Calibri"/>
          <w:b/>
          <w:bCs/>
          <w:sz w:val="8"/>
          <w:szCs w:val="8"/>
          <w:lang w:val="en-AE" w:bidi="ar-IQ"/>
        </w:rPr>
      </w:pPr>
    </w:p>
    <w:p w14:paraId="42018177" w14:textId="685EEEEF" w:rsidR="00D47E9B" w:rsidRPr="00D47E9B" w:rsidRDefault="00D47E9B" w:rsidP="0018781E">
      <w:pPr>
        <w:jc w:val="both"/>
        <w:rPr>
          <w:rFonts w:eastAsia="Calibri"/>
          <w:b/>
          <w:bCs/>
          <w:lang w:val="en-AE" w:bidi="ar-IQ"/>
        </w:rPr>
      </w:pPr>
      <w:r w:rsidRPr="00D47E9B">
        <w:rPr>
          <w:rFonts w:eastAsia="Calibri"/>
          <w:lang w:bidi="ar-IQ"/>
        </w:rPr>
        <w:t>Bacterial infections were detected using blood and urine cultures.  Samples were inoculated onto MacConkey agar and blood agar plates and incubated at 37°C for 24 to 48 hours.  Bacterial identification was conducted with conventional biochemical assays and Gram</w:t>
      </w:r>
      <w:r w:rsidRPr="00D47E9B">
        <w:rPr>
          <w:rFonts w:eastAsia="Calibri"/>
          <w:rtl/>
          <w:lang w:bidi="ar-IQ"/>
        </w:rPr>
        <w:t xml:space="preserve"> </w:t>
      </w:r>
      <w:r w:rsidRPr="00D47E9B">
        <w:rPr>
          <w:rFonts w:eastAsia="Calibri"/>
          <w:lang w:bidi="ar-IQ"/>
        </w:rPr>
        <w:t>staining techniques.  Antibiotic susceptibility testing was performed with the Kirby-Bauer disc diffusion technique</w:t>
      </w:r>
      <w:r w:rsidRPr="00D47E9B">
        <w:rPr>
          <w:rFonts w:eastAsia="Calibri"/>
          <w:b/>
          <w:bCs/>
          <w:lang w:bidi="ar-IQ"/>
        </w:rPr>
        <w:t>.</w:t>
      </w:r>
      <w:r w:rsidR="0018781E">
        <w:rPr>
          <w:rFonts w:eastAsia="Calibri"/>
          <w:b/>
          <w:bCs/>
          <w:lang w:val="en-AE" w:bidi="ar-IQ"/>
        </w:rPr>
        <w:t xml:space="preserve"> </w:t>
      </w:r>
    </w:p>
    <w:p w14:paraId="4ED08600" w14:textId="77777777" w:rsidR="00D47E9B" w:rsidRPr="00D47E9B" w:rsidRDefault="00D47E9B" w:rsidP="0018781E">
      <w:pPr>
        <w:jc w:val="both"/>
        <w:rPr>
          <w:rFonts w:eastAsia="Calibri"/>
          <w:b/>
          <w:bCs/>
          <w:sz w:val="12"/>
          <w:szCs w:val="12"/>
          <w:lang w:val="en-AE" w:bidi="ar-IQ"/>
        </w:rPr>
      </w:pPr>
    </w:p>
    <w:p w14:paraId="30B18AB0" w14:textId="0377E3AA" w:rsidR="00D47E9B" w:rsidRDefault="00D47E9B" w:rsidP="0018781E">
      <w:pPr>
        <w:jc w:val="both"/>
        <w:rPr>
          <w:rFonts w:eastAsia="Calibri"/>
          <w:b/>
          <w:bCs/>
          <w:lang w:val="en-AE" w:bidi="ar-IQ"/>
        </w:rPr>
      </w:pPr>
      <w:r w:rsidRPr="00D47E9B">
        <w:rPr>
          <w:rFonts w:eastAsia="Calibri"/>
          <w:b/>
          <w:bCs/>
          <w:lang w:bidi="ar-IQ"/>
        </w:rPr>
        <w:t>Analysis of Statistics</w:t>
      </w:r>
      <w:r w:rsidR="0018781E">
        <w:rPr>
          <w:rFonts w:eastAsia="Calibri"/>
          <w:b/>
          <w:bCs/>
          <w:lang w:val="en-AE" w:bidi="ar-IQ"/>
        </w:rPr>
        <w:t xml:space="preserve"> </w:t>
      </w:r>
    </w:p>
    <w:p w14:paraId="0AD04622" w14:textId="77777777" w:rsidR="0018781E" w:rsidRPr="00D47E9B" w:rsidRDefault="0018781E" w:rsidP="0018781E">
      <w:pPr>
        <w:jc w:val="both"/>
        <w:rPr>
          <w:rFonts w:eastAsia="Calibri"/>
          <w:b/>
          <w:bCs/>
          <w:sz w:val="8"/>
          <w:szCs w:val="8"/>
          <w:lang w:val="en-AE" w:bidi="ar-IQ"/>
        </w:rPr>
      </w:pPr>
    </w:p>
    <w:p w14:paraId="439C1E2E" w14:textId="0CAEB3DC" w:rsidR="00DD79F9" w:rsidRPr="00D47E9B" w:rsidRDefault="00D47E9B" w:rsidP="00D47E9B">
      <w:pPr>
        <w:rPr>
          <w:b/>
          <w:bCs/>
          <w:spacing w:val="-2"/>
          <w:lang w:val="en-GB"/>
        </w:rPr>
      </w:pPr>
      <w:r w:rsidRPr="00D47E9B">
        <w:rPr>
          <w:rFonts w:eastAsia="Calibri"/>
          <w:lang w:bidi="ar-IQ"/>
        </w:rPr>
        <w:t>SPSS software (</w:t>
      </w:r>
      <w:proofErr w:type="spellStart"/>
      <w:r w:rsidRPr="00D47E9B">
        <w:rPr>
          <w:rFonts w:eastAsia="Calibri"/>
          <w:lang w:bidi="ar-IQ"/>
        </w:rPr>
        <w:t>GraphPad</w:t>
      </w:r>
      <w:proofErr w:type="spellEnd"/>
      <w:r w:rsidRPr="00D47E9B">
        <w:rPr>
          <w:rFonts w:eastAsia="Calibri"/>
          <w:lang w:bidi="ar-IQ"/>
        </w:rPr>
        <w:t xml:space="preserve"> Prism 9 and SPSS 27) was used to </w:t>
      </w:r>
      <w:proofErr w:type="spellStart"/>
      <w:r w:rsidRPr="00D47E9B">
        <w:rPr>
          <w:rFonts w:eastAsia="Calibri"/>
          <w:lang w:bidi="ar-IQ"/>
        </w:rPr>
        <w:t>analyse</w:t>
      </w:r>
      <w:proofErr w:type="spellEnd"/>
      <w:r w:rsidRPr="00D47E9B">
        <w:rPr>
          <w:rFonts w:eastAsia="Calibri"/>
          <w:lang w:bidi="ar-IQ"/>
        </w:rPr>
        <w:t xml:space="preserve"> the data.  Categorical data were displayed as frequencies and percentages, whereas continuous variables were represented as mean ± standard deviation (SD).  To compare the biochemical parameters between groups, independent t-tests and chi-square tests were employed.  P-values less than 0.05 were regarded as statistically significant</w:t>
      </w:r>
      <w:r w:rsidRPr="00D47E9B">
        <w:rPr>
          <w:rFonts w:eastAsia="Calibri"/>
          <w:b/>
          <w:bCs/>
          <w:lang w:bidi="ar-IQ"/>
        </w:rPr>
        <w:t>.</w:t>
      </w:r>
      <w:r w:rsidR="00751D2A" w:rsidRPr="00D47E9B">
        <w:rPr>
          <w:spacing w:val="-2"/>
          <w:lang w:val="en-GB"/>
        </w:rPr>
        <w:t xml:space="preserve"> </w:t>
      </w:r>
    </w:p>
    <w:bookmarkEnd w:id="0"/>
    <w:bookmarkEnd w:id="1"/>
    <w:p w14:paraId="159C3390" w14:textId="77777777" w:rsidR="006458BE" w:rsidRDefault="006458BE" w:rsidP="00D47E9B">
      <w:pPr>
        <w:jc w:val="both"/>
        <w:rPr>
          <w:sz w:val="12"/>
          <w:szCs w:val="12"/>
          <w:lang w:val="en-AE"/>
        </w:rPr>
      </w:pPr>
    </w:p>
    <w:p w14:paraId="2536B8D8" w14:textId="77777777" w:rsidR="0018781E" w:rsidRPr="0018781E" w:rsidRDefault="0018781E" w:rsidP="00D47E9B">
      <w:pPr>
        <w:jc w:val="both"/>
        <w:rPr>
          <w:sz w:val="12"/>
          <w:szCs w:val="12"/>
          <w:lang w:val="en-AE"/>
        </w:rPr>
      </w:pPr>
    </w:p>
    <w:p w14:paraId="28B3CFA7" w14:textId="49041A9D" w:rsidR="007F0D27" w:rsidRPr="00025060" w:rsidRDefault="00025060" w:rsidP="00751D2A">
      <w:pPr>
        <w:tabs>
          <w:tab w:val="left" w:pos="426"/>
        </w:tabs>
        <w:rPr>
          <w:b/>
          <w:bCs/>
          <w:sz w:val="22"/>
          <w:szCs w:val="22"/>
          <w:lang w:val="en-GB"/>
        </w:rPr>
      </w:pPr>
      <w:bookmarkStart w:id="3" w:name="_Hlk78354310"/>
      <w:r w:rsidRPr="00025060">
        <w:rPr>
          <w:b/>
          <w:bCs/>
          <w:sz w:val="22"/>
          <w:szCs w:val="22"/>
          <w:lang w:val="en-GB"/>
        </w:rPr>
        <w:t xml:space="preserve">3- </w:t>
      </w:r>
      <w:r w:rsidR="007F0D27" w:rsidRPr="00025060">
        <w:rPr>
          <w:b/>
          <w:bCs/>
          <w:sz w:val="22"/>
          <w:szCs w:val="22"/>
          <w:lang w:val="id-ID"/>
        </w:rPr>
        <w:t>RESULTS AND DISCUSSION</w:t>
      </w:r>
      <w:r w:rsidR="00751D2A" w:rsidRPr="00025060">
        <w:rPr>
          <w:b/>
          <w:bCs/>
          <w:sz w:val="22"/>
          <w:szCs w:val="22"/>
          <w:lang w:val="en-GB"/>
        </w:rPr>
        <w:t xml:space="preserve"> </w:t>
      </w:r>
    </w:p>
    <w:p w14:paraId="5F509A21" w14:textId="77777777" w:rsidR="006458BE" w:rsidRPr="00751D2A" w:rsidRDefault="006458BE" w:rsidP="00922188">
      <w:pPr>
        <w:jc w:val="lowKashida"/>
        <w:rPr>
          <w:sz w:val="12"/>
          <w:szCs w:val="12"/>
          <w:lang w:val="en-GB"/>
        </w:rPr>
      </w:pPr>
    </w:p>
    <w:bookmarkEnd w:id="3"/>
    <w:p w14:paraId="1AF73858" w14:textId="7BAF02BA" w:rsidR="00294134" w:rsidRDefault="00294134" w:rsidP="00294134">
      <w:pPr>
        <w:ind w:firstLine="720"/>
        <w:jc w:val="both"/>
        <w:rPr>
          <w:rFonts w:asciiTheme="majorBidi" w:eastAsia="Calibri" w:hAnsiTheme="majorBidi" w:cstheme="majorBidi"/>
          <w:lang w:val="en-AE" w:bidi="ar-IQ"/>
        </w:rPr>
      </w:pPr>
      <w:r w:rsidRPr="00294134">
        <w:rPr>
          <w:rFonts w:asciiTheme="majorBidi" w:eastAsia="Calibri" w:hAnsiTheme="majorBidi" w:cstheme="majorBidi"/>
          <w:lang w:bidi="ar-IQ"/>
        </w:rPr>
        <w:t>Demographics and Bacterial Infections Table 1 shows no statistically significant differences in bacterial infection rates between thyroid cancer patients and controls.  According to Table 2, thyroid cancer patients have a higher mean age (p &lt; 0.004) and a higher family history of cancer (p = 0.02) compared to controls. No significant gender or smoking history differences were found.</w:t>
      </w:r>
      <w:r>
        <w:rPr>
          <w:rFonts w:asciiTheme="majorBidi" w:eastAsia="Calibri" w:hAnsiTheme="majorBidi" w:cstheme="majorBidi"/>
          <w:lang w:val="en-AE" w:bidi="ar-IQ"/>
        </w:rPr>
        <w:t xml:space="preserve"> </w:t>
      </w:r>
    </w:p>
    <w:p w14:paraId="6756E051" w14:textId="77777777" w:rsidR="00294134" w:rsidRPr="00294134" w:rsidRDefault="00294134" w:rsidP="00294134">
      <w:pPr>
        <w:jc w:val="both"/>
        <w:rPr>
          <w:rFonts w:asciiTheme="majorBidi" w:eastAsia="Calibri" w:hAnsiTheme="majorBidi" w:cstheme="majorBidi"/>
          <w:sz w:val="12"/>
          <w:szCs w:val="12"/>
          <w:lang w:val="en-AE" w:bidi="ar-IQ"/>
        </w:rPr>
      </w:pPr>
    </w:p>
    <w:p w14:paraId="19394603" w14:textId="68AF8FC2" w:rsidR="00294134" w:rsidRPr="00294134" w:rsidRDefault="00294134" w:rsidP="00294134">
      <w:pPr>
        <w:jc w:val="both"/>
        <w:rPr>
          <w:rFonts w:asciiTheme="majorBidi" w:eastAsia="Calibri" w:hAnsiTheme="majorBidi" w:cstheme="majorBidi"/>
          <w:lang w:val="en-AE" w:bidi="ar-IQ"/>
        </w:rPr>
      </w:pPr>
      <w:r w:rsidRPr="00294134">
        <w:rPr>
          <w:rFonts w:asciiTheme="majorBidi" w:eastAsia="Calibri" w:hAnsiTheme="majorBidi" w:cstheme="majorBidi"/>
          <w:lang w:bidi="ar-IQ"/>
        </w:rPr>
        <w:t xml:space="preserve">Tables 1 and 2 reveal the relationship between bacterial infections and renal function and thyroid cancer patient demographics.  The most common bacterial infections in the study population were Staphylococcus aureus, Helicobacter pylori, and Pseudomonas aeruginosa (Table 1).  These infections were not statistically significant in this cohort (p-values between 0.269 and 0.674), but they suggest further research. This supports other studies showing diverse rates of specific bacterial infections in cancer patients.  Based on post-treatment immunity, [9] found a high rate of </w:t>
      </w:r>
      <w:r w:rsidRPr="00294134">
        <w:rPr>
          <w:rFonts w:asciiTheme="majorBidi" w:eastAsia="Calibri" w:hAnsiTheme="majorBidi" w:cstheme="majorBidi"/>
          <w:i/>
          <w:iCs/>
          <w:lang w:bidi="ar-IQ"/>
        </w:rPr>
        <w:t>Staphylococcus aureus</w:t>
      </w:r>
      <w:r w:rsidRPr="00294134">
        <w:rPr>
          <w:rFonts w:asciiTheme="majorBidi" w:eastAsia="Calibri" w:hAnsiTheme="majorBidi" w:cstheme="majorBidi"/>
          <w:lang w:bidi="ar-IQ"/>
        </w:rPr>
        <w:t xml:space="preserve"> in</w:t>
      </w:r>
      <w:r w:rsidR="008153BF">
        <w:rPr>
          <w:rFonts w:asciiTheme="majorBidi" w:eastAsia="Calibri" w:hAnsiTheme="majorBidi" w:cstheme="majorBidi"/>
          <w:lang w:bidi="ar-IQ"/>
        </w:rPr>
        <w:t xml:space="preserve">fections in oncology patients, </w:t>
      </w:r>
      <w:r w:rsidR="008153BF" w:rsidRPr="00294134">
        <w:rPr>
          <w:rFonts w:asciiTheme="majorBidi" w:eastAsia="Calibri" w:hAnsiTheme="majorBidi" w:cstheme="majorBidi"/>
          <w:lang w:bidi="ar-IQ"/>
        </w:rPr>
        <w:t>surgical</w:t>
      </w:r>
      <w:r w:rsidRPr="00294134">
        <w:rPr>
          <w:rFonts w:asciiTheme="majorBidi" w:eastAsia="Calibri" w:hAnsiTheme="majorBidi" w:cstheme="majorBidi"/>
          <w:lang w:bidi="ar-IQ"/>
        </w:rPr>
        <w:t xml:space="preserve"> procedures that disrupt skin flora may increase thyroid cancer risk by promoting bacterial colonization [10].  </w:t>
      </w:r>
      <w:r w:rsidRPr="00294134">
        <w:rPr>
          <w:rFonts w:asciiTheme="majorBidi" w:eastAsia="Calibri" w:hAnsiTheme="majorBidi" w:cstheme="majorBidi"/>
          <w:i/>
          <w:iCs/>
          <w:lang w:bidi="ar-IQ"/>
        </w:rPr>
        <w:t>Helicobacter pylori</w:t>
      </w:r>
      <w:r w:rsidRPr="00294134">
        <w:rPr>
          <w:rFonts w:asciiTheme="majorBidi" w:eastAsia="Calibri" w:hAnsiTheme="majorBidi" w:cstheme="majorBidi"/>
          <w:lang w:bidi="ar-IQ"/>
        </w:rPr>
        <w:t xml:space="preserve"> may be linked to thyroid cancer, but the evidence is mixed (</w:t>
      </w:r>
      <w:proofErr w:type="spellStart"/>
      <w:r w:rsidRPr="00294134">
        <w:rPr>
          <w:rFonts w:asciiTheme="majorBidi" w:eastAsia="Calibri" w:hAnsiTheme="majorBidi" w:cstheme="majorBidi"/>
          <w:lang w:bidi="ar-IQ"/>
        </w:rPr>
        <w:t>Kansra</w:t>
      </w:r>
      <w:proofErr w:type="spellEnd"/>
      <w:r w:rsidRPr="00294134">
        <w:rPr>
          <w:rFonts w:asciiTheme="majorBidi" w:eastAsia="Calibri" w:hAnsiTheme="majorBidi" w:cstheme="majorBidi"/>
          <w:lang w:bidi="ar-IQ"/>
        </w:rPr>
        <w:t xml:space="preserve"> et al., 2020)</w:t>
      </w:r>
      <w:r w:rsidR="008153BF">
        <w:rPr>
          <w:rFonts w:asciiTheme="majorBidi" w:eastAsia="Calibri" w:hAnsiTheme="majorBidi" w:cstheme="majorBidi"/>
          <w:lang w:bidi="ar-IQ"/>
        </w:rPr>
        <w:t xml:space="preserve"> </w:t>
      </w:r>
      <w:r w:rsidRPr="00294134">
        <w:rPr>
          <w:rFonts w:asciiTheme="majorBidi" w:eastAsia="Calibri" w:hAnsiTheme="majorBidi" w:cstheme="majorBidi"/>
          <w:lang w:bidi="ar-IQ"/>
        </w:rPr>
        <w:t>[11].</w:t>
      </w:r>
      <w:r w:rsidRPr="00294134">
        <w:rPr>
          <w:rFonts w:asciiTheme="majorBidi" w:eastAsia="Calibri" w:hAnsiTheme="majorBidi" w:cstheme="majorBidi"/>
          <w:rtl/>
          <w:lang w:bidi="ar-IQ"/>
        </w:rPr>
        <w:t xml:space="preserve"> </w:t>
      </w:r>
      <w:r w:rsidRPr="00294134">
        <w:rPr>
          <w:rFonts w:asciiTheme="majorBidi" w:eastAsia="Calibri" w:hAnsiTheme="majorBidi" w:cstheme="majorBidi"/>
          <w:lang w:bidi="ar-IQ"/>
        </w:rPr>
        <w:t>Table 2 shows significant demographic differences between thyroid cancer patients and controls, with a significantly higher mean age (53.70 ± 7.39 years vs. 46.00 ± 10.73 years, p &lt; 0.004).  This supports the literature linking thyroid cancer to older age [12].  Family history significantly affects thyroid cancer susceptibility, while smoking history does not.  As research shows that many thyroid cancers are hereditary, genetic and hormonal factors are involved [13]. Our demographic profile shows that older thyroid cancer patients are more susceptible to infections that can harm renal function, highlighting the need for targeted infection prevention and management strategies.  These associations should be studied to determine how bacterial infections affect this population's health.</w:t>
      </w:r>
      <w:r>
        <w:rPr>
          <w:rFonts w:asciiTheme="majorBidi" w:eastAsia="Calibri" w:hAnsiTheme="majorBidi" w:cstheme="majorBidi"/>
          <w:lang w:val="en-AE" w:bidi="ar-IQ"/>
        </w:rPr>
        <w:t xml:space="preserve"> </w:t>
      </w:r>
    </w:p>
    <w:p w14:paraId="453FA3DA" w14:textId="77777777" w:rsidR="00294134" w:rsidRDefault="00294134" w:rsidP="00294134">
      <w:pPr>
        <w:jc w:val="both"/>
        <w:rPr>
          <w:rFonts w:asciiTheme="majorBidi" w:eastAsia="Calibri" w:hAnsiTheme="majorBidi" w:cstheme="majorBidi"/>
          <w:lang w:val="en-AE" w:bidi="ar-IQ"/>
        </w:rPr>
      </w:pPr>
    </w:p>
    <w:p w14:paraId="70F12763" w14:textId="77777777" w:rsidR="00294134" w:rsidRDefault="00294134" w:rsidP="00294134">
      <w:pPr>
        <w:jc w:val="both"/>
        <w:rPr>
          <w:rFonts w:asciiTheme="majorBidi" w:eastAsia="Calibri" w:hAnsiTheme="majorBidi" w:cstheme="majorBidi"/>
          <w:lang w:val="en-AE" w:bidi="ar-IQ"/>
        </w:rPr>
      </w:pPr>
    </w:p>
    <w:p w14:paraId="6E80F5A0" w14:textId="77777777" w:rsidR="00294134" w:rsidRDefault="00294134" w:rsidP="00294134">
      <w:pPr>
        <w:jc w:val="both"/>
        <w:rPr>
          <w:rFonts w:asciiTheme="majorBidi" w:eastAsia="Calibri" w:hAnsiTheme="majorBidi" w:cstheme="majorBidi"/>
          <w:lang w:val="en-AE" w:bidi="ar-IQ"/>
        </w:rPr>
      </w:pPr>
    </w:p>
    <w:p w14:paraId="36B7636B" w14:textId="77777777" w:rsidR="00294134" w:rsidRDefault="00294134" w:rsidP="00294134">
      <w:pPr>
        <w:spacing w:after="160"/>
        <w:jc w:val="both"/>
        <w:rPr>
          <w:rFonts w:asciiTheme="majorBidi" w:eastAsia="Calibri" w:hAnsiTheme="majorBidi" w:cstheme="majorBidi"/>
          <w:lang w:val="en-AE" w:bidi="ar-IQ"/>
        </w:rPr>
      </w:pPr>
    </w:p>
    <w:p w14:paraId="357DB5F7" w14:textId="4E6E87D6" w:rsidR="00294134" w:rsidRDefault="00294134" w:rsidP="00294134">
      <w:pPr>
        <w:jc w:val="both"/>
        <w:rPr>
          <w:rFonts w:asciiTheme="majorBidi" w:eastAsia="Calibri" w:hAnsiTheme="majorBidi" w:cstheme="majorBidi"/>
          <w:b/>
          <w:bCs/>
          <w:lang w:val="en-AE"/>
        </w:rPr>
      </w:pPr>
      <w:r w:rsidRPr="00294134">
        <w:rPr>
          <w:rFonts w:asciiTheme="majorBidi" w:eastAsia="Calibri" w:hAnsiTheme="majorBidi" w:cstheme="majorBidi"/>
          <w:b/>
          <w:bCs/>
          <w:lang w:bidi="ar-IQ"/>
        </w:rPr>
        <w:lastRenderedPageBreak/>
        <w:t xml:space="preserve">Table 1:  </w:t>
      </w:r>
      <w:r w:rsidRPr="00294134">
        <w:rPr>
          <w:rFonts w:asciiTheme="majorBidi" w:eastAsia="Calibri" w:hAnsiTheme="majorBidi" w:cstheme="majorBidi"/>
          <w:b/>
          <w:bCs/>
        </w:rPr>
        <w:t>Bacterial infections among Thyroid cancer patients</w:t>
      </w:r>
      <w:r>
        <w:rPr>
          <w:rFonts w:asciiTheme="majorBidi" w:eastAsia="Calibri" w:hAnsiTheme="majorBidi" w:cstheme="majorBidi"/>
          <w:b/>
          <w:bCs/>
          <w:lang w:val="en-AE"/>
        </w:rPr>
        <w:t xml:space="preserve"> </w:t>
      </w:r>
    </w:p>
    <w:p w14:paraId="3985BDCD" w14:textId="77777777" w:rsidR="00294134" w:rsidRPr="00294134" w:rsidRDefault="00294134" w:rsidP="00294134">
      <w:pPr>
        <w:jc w:val="both"/>
        <w:rPr>
          <w:rFonts w:asciiTheme="majorBidi" w:eastAsia="Calibri" w:hAnsiTheme="majorBidi" w:cstheme="majorBidi"/>
          <w:b/>
          <w:bCs/>
          <w:sz w:val="12"/>
          <w:szCs w:val="12"/>
          <w:lang w:val="en-AE"/>
        </w:rPr>
      </w:pPr>
    </w:p>
    <w:tbl>
      <w:tblPr>
        <w:tblStyle w:val="TableGrid2"/>
        <w:tblW w:w="0" w:type="auto"/>
        <w:tblInd w:w="108" w:type="dxa"/>
        <w:tblLook w:val="04A0" w:firstRow="1" w:lastRow="0" w:firstColumn="1" w:lastColumn="0" w:noHBand="0" w:noVBand="1"/>
      </w:tblPr>
      <w:tblGrid>
        <w:gridCol w:w="2229"/>
        <w:gridCol w:w="2337"/>
        <w:gridCol w:w="2338"/>
        <w:gridCol w:w="2338"/>
      </w:tblGrid>
      <w:tr w:rsidR="00294134" w:rsidRPr="00294134" w14:paraId="78FDE89C" w14:textId="77777777" w:rsidTr="00294134">
        <w:tc>
          <w:tcPr>
            <w:tcW w:w="2229" w:type="dxa"/>
          </w:tcPr>
          <w:p w14:paraId="32BAA16B"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Bacterial infection</w:t>
            </w:r>
          </w:p>
        </w:tc>
        <w:tc>
          <w:tcPr>
            <w:tcW w:w="2337" w:type="dxa"/>
          </w:tcPr>
          <w:p w14:paraId="3CCF53CC"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Thyroid cancer patients (50)</w:t>
            </w:r>
          </w:p>
        </w:tc>
        <w:tc>
          <w:tcPr>
            <w:tcW w:w="2338" w:type="dxa"/>
          </w:tcPr>
          <w:p w14:paraId="78CE8F59"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Control group</w:t>
            </w:r>
          </w:p>
          <w:p w14:paraId="275E4C29"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(50)</w:t>
            </w:r>
          </w:p>
        </w:tc>
        <w:tc>
          <w:tcPr>
            <w:tcW w:w="2338" w:type="dxa"/>
          </w:tcPr>
          <w:p w14:paraId="679C79EA"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P value</w:t>
            </w:r>
          </w:p>
        </w:tc>
      </w:tr>
      <w:tr w:rsidR="00294134" w:rsidRPr="00294134" w14:paraId="294E7128" w14:textId="77777777" w:rsidTr="00294134">
        <w:tc>
          <w:tcPr>
            <w:tcW w:w="2229" w:type="dxa"/>
          </w:tcPr>
          <w:p w14:paraId="3FD1AA60" w14:textId="77777777" w:rsidR="00294134" w:rsidRPr="00294134" w:rsidRDefault="00294134" w:rsidP="00294134">
            <w:pPr>
              <w:jc w:val="both"/>
              <w:rPr>
                <w:rFonts w:asciiTheme="majorBidi" w:hAnsiTheme="majorBidi" w:cstheme="majorBidi"/>
                <w:i/>
                <w:iCs/>
              </w:rPr>
            </w:pPr>
            <w:r w:rsidRPr="00294134">
              <w:rPr>
                <w:rFonts w:asciiTheme="majorBidi" w:hAnsiTheme="majorBidi" w:cstheme="majorBidi"/>
                <w:i/>
                <w:iCs/>
              </w:rPr>
              <w:t>Staphylococcus aureus</w:t>
            </w:r>
          </w:p>
        </w:tc>
        <w:tc>
          <w:tcPr>
            <w:tcW w:w="2337" w:type="dxa"/>
          </w:tcPr>
          <w:p w14:paraId="6981E888"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6</w:t>
            </w:r>
          </w:p>
        </w:tc>
        <w:tc>
          <w:tcPr>
            <w:tcW w:w="2338" w:type="dxa"/>
          </w:tcPr>
          <w:p w14:paraId="37C2AA6F"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2</w:t>
            </w:r>
          </w:p>
        </w:tc>
        <w:tc>
          <w:tcPr>
            <w:tcW w:w="2338" w:type="dxa"/>
          </w:tcPr>
          <w:p w14:paraId="421135EC"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0.269</w:t>
            </w:r>
          </w:p>
        </w:tc>
      </w:tr>
      <w:tr w:rsidR="00294134" w:rsidRPr="00294134" w14:paraId="02EBA95C" w14:textId="77777777" w:rsidTr="00294134">
        <w:tc>
          <w:tcPr>
            <w:tcW w:w="2229" w:type="dxa"/>
          </w:tcPr>
          <w:p w14:paraId="4157DDE1" w14:textId="77777777" w:rsidR="00294134" w:rsidRPr="00294134" w:rsidRDefault="00294134" w:rsidP="00294134">
            <w:pPr>
              <w:jc w:val="both"/>
              <w:rPr>
                <w:rFonts w:asciiTheme="majorBidi" w:hAnsiTheme="majorBidi" w:cstheme="majorBidi"/>
                <w:i/>
                <w:iCs/>
              </w:rPr>
            </w:pPr>
            <w:r w:rsidRPr="00294134">
              <w:rPr>
                <w:rFonts w:asciiTheme="majorBidi" w:hAnsiTheme="majorBidi" w:cstheme="majorBidi"/>
                <w:i/>
                <w:iCs/>
              </w:rPr>
              <w:t>Helicobacter pylori</w:t>
            </w:r>
          </w:p>
        </w:tc>
        <w:tc>
          <w:tcPr>
            <w:tcW w:w="2337" w:type="dxa"/>
          </w:tcPr>
          <w:p w14:paraId="62E7CC1D"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7</w:t>
            </w:r>
          </w:p>
        </w:tc>
        <w:tc>
          <w:tcPr>
            <w:tcW w:w="2338" w:type="dxa"/>
          </w:tcPr>
          <w:p w14:paraId="718E6A65"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4</w:t>
            </w:r>
          </w:p>
        </w:tc>
        <w:tc>
          <w:tcPr>
            <w:tcW w:w="2338" w:type="dxa"/>
          </w:tcPr>
          <w:p w14:paraId="7F949A2D"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0.523</w:t>
            </w:r>
          </w:p>
        </w:tc>
      </w:tr>
      <w:tr w:rsidR="00294134" w:rsidRPr="00294134" w14:paraId="12C4B054" w14:textId="77777777" w:rsidTr="00294134">
        <w:tc>
          <w:tcPr>
            <w:tcW w:w="2229" w:type="dxa"/>
          </w:tcPr>
          <w:p w14:paraId="25CCEF63" w14:textId="77777777" w:rsidR="00294134" w:rsidRPr="00294134" w:rsidRDefault="00294134" w:rsidP="00294134">
            <w:pPr>
              <w:jc w:val="both"/>
              <w:rPr>
                <w:rFonts w:asciiTheme="majorBidi" w:hAnsiTheme="majorBidi" w:cstheme="majorBidi"/>
                <w:i/>
                <w:iCs/>
              </w:rPr>
            </w:pPr>
            <w:r w:rsidRPr="00294134">
              <w:rPr>
                <w:rFonts w:asciiTheme="majorBidi" w:hAnsiTheme="majorBidi" w:cstheme="majorBidi"/>
                <w:i/>
                <w:iCs/>
              </w:rPr>
              <w:t>Pseudomonas aeruginosa</w:t>
            </w:r>
          </w:p>
        </w:tc>
        <w:tc>
          <w:tcPr>
            <w:tcW w:w="2337" w:type="dxa"/>
          </w:tcPr>
          <w:p w14:paraId="42086EF3"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2</w:t>
            </w:r>
          </w:p>
        </w:tc>
        <w:tc>
          <w:tcPr>
            <w:tcW w:w="2338" w:type="dxa"/>
          </w:tcPr>
          <w:p w14:paraId="589543C8"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w:t>
            </w:r>
          </w:p>
        </w:tc>
        <w:tc>
          <w:tcPr>
            <w:tcW w:w="2338" w:type="dxa"/>
          </w:tcPr>
          <w:p w14:paraId="715631E2"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N/A</w:t>
            </w:r>
          </w:p>
        </w:tc>
      </w:tr>
      <w:tr w:rsidR="00294134" w:rsidRPr="00294134" w14:paraId="5B0636D1" w14:textId="77777777" w:rsidTr="00294134">
        <w:tc>
          <w:tcPr>
            <w:tcW w:w="2229" w:type="dxa"/>
          </w:tcPr>
          <w:p w14:paraId="1EAD3858" w14:textId="77777777" w:rsidR="00294134" w:rsidRPr="00294134" w:rsidRDefault="00294134" w:rsidP="00294134">
            <w:pPr>
              <w:jc w:val="both"/>
              <w:rPr>
                <w:rFonts w:asciiTheme="majorBidi" w:hAnsiTheme="majorBidi" w:cstheme="majorBidi"/>
                <w:i/>
                <w:iCs/>
              </w:rPr>
            </w:pPr>
            <w:r w:rsidRPr="00294134">
              <w:rPr>
                <w:rFonts w:asciiTheme="majorBidi" w:hAnsiTheme="majorBidi" w:cstheme="majorBidi"/>
                <w:i/>
                <w:iCs/>
              </w:rPr>
              <w:t>Escherichia coli</w:t>
            </w:r>
          </w:p>
        </w:tc>
        <w:tc>
          <w:tcPr>
            <w:tcW w:w="2337" w:type="dxa"/>
          </w:tcPr>
          <w:p w14:paraId="765759CA"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4</w:t>
            </w:r>
          </w:p>
        </w:tc>
        <w:tc>
          <w:tcPr>
            <w:tcW w:w="2338" w:type="dxa"/>
          </w:tcPr>
          <w:p w14:paraId="101C81B6"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2</w:t>
            </w:r>
          </w:p>
        </w:tc>
        <w:tc>
          <w:tcPr>
            <w:tcW w:w="2338" w:type="dxa"/>
          </w:tcPr>
          <w:p w14:paraId="30A8E92D"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 xml:space="preserve"> 0.674</w:t>
            </w:r>
          </w:p>
        </w:tc>
      </w:tr>
      <w:tr w:rsidR="00294134" w:rsidRPr="00294134" w14:paraId="73BDA364" w14:textId="77777777" w:rsidTr="00294134">
        <w:tc>
          <w:tcPr>
            <w:tcW w:w="2229" w:type="dxa"/>
          </w:tcPr>
          <w:p w14:paraId="1871D71B"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Other bacterial infection</w:t>
            </w:r>
          </w:p>
        </w:tc>
        <w:tc>
          <w:tcPr>
            <w:tcW w:w="2337" w:type="dxa"/>
          </w:tcPr>
          <w:p w14:paraId="6255DEDA"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2</w:t>
            </w:r>
          </w:p>
        </w:tc>
        <w:tc>
          <w:tcPr>
            <w:tcW w:w="2338" w:type="dxa"/>
          </w:tcPr>
          <w:p w14:paraId="13534C4E"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w:t>
            </w:r>
          </w:p>
        </w:tc>
        <w:tc>
          <w:tcPr>
            <w:tcW w:w="2338" w:type="dxa"/>
          </w:tcPr>
          <w:p w14:paraId="7DA31084"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N/A</w:t>
            </w:r>
          </w:p>
        </w:tc>
      </w:tr>
    </w:tbl>
    <w:p w14:paraId="1A4885CC" w14:textId="77777777" w:rsidR="00294134" w:rsidRDefault="00294134" w:rsidP="00294134">
      <w:pPr>
        <w:jc w:val="both"/>
        <w:rPr>
          <w:rFonts w:asciiTheme="majorBidi" w:eastAsia="Calibri" w:hAnsiTheme="majorBidi" w:cstheme="majorBidi"/>
          <w:sz w:val="12"/>
          <w:szCs w:val="12"/>
          <w:lang w:val="en-AE" w:bidi="ar-IQ"/>
        </w:rPr>
      </w:pPr>
    </w:p>
    <w:p w14:paraId="6B4197EE" w14:textId="77777777" w:rsidR="00294134" w:rsidRPr="00294134" w:rsidRDefault="00294134" w:rsidP="00294134">
      <w:pPr>
        <w:jc w:val="both"/>
        <w:rPr>
          <w:rFonts w:asciiTheme="majorBidi" w:eastAsia="Calibri" w:hAnsiTheme="majorBidi" w:cstheme="majorBidi"/>
          <w:sz w:val="12"/>
          <w:szCs w:val="12"/>
          <w:rtl/>
          <w:lang w:val="en-AE" w:bidi="ar-IQ"/>
        </w:rPr>
      </w:pPr>
    </w:p>
    <w:p w14:paraId="1A2377D4" w14:textId="5ACF45B0" w:rsidR="00294134" w:rsidRDefault="00294134" w:rsidP="00294134">
      <w:pPr>
        <w:jc w:val="both"/>
        <w:rPr>
          <w:rFonts w:asciiTheme="majorBidi" w:eastAsia="Calibri" w:hAnsiTheme="majorBidi" w:cstheme="majorBidi"/>
          <w:b/>
          <w:bCs/>
          <w:lang w:val="en-AE" w:bidi="ar-IQ"/>
        </w:rPr>
      </w:pPr>
      <w:r w:rsidRPr="00294134">
        <w:rPr>
          <w:rFonts w:asciiTheme="majorBidi" w:eastAsia="Calibri" w:hAnsiTheme="majorBidi" w:cstheme="majorBidi"/>
          <w:b/>
          <w:bCs/>
          <w:lang w:bidi="ar-IQ"/>
        </w:rPr>
        <w:t>Table 2:  demographics variables</w:t>
      </w:r>
      <w:r>
        <w:rPr>
          <w:rFonts w:asciiTheme="majorBidi" w:eastAsia="Calibri" w:hAnsiTheme="majorBidi" w:cstheme="majorBidi"/>
          <w:b/>
          <w:bCs/>
          <w:lang w:val="en-AE" w:bidi="ar-IQ"/>
        </w:rPr>
        <w:t xml:space="preserve"> </w:t>
      </w:r>
    </w:p>
    <w:p w14:paraId="6DC83C4B" w14:textId="77777777" w:rsidR="00294134" w:rsidRPr="00294134" w:rsidRDefault="00294134" w:rsidP="00294134">
      <w:pPr>
        <w:jc w:val="both"/>
        <w:rPr>
          <w:rFonts w:asciiTheme="majorBidi" w:eastAsia="Calibri" w:hAnsiTheme="majorBidi" w:cstheme="majorBidi"/>
          <w:b/>
          <w:bCs/>
          <w:sz w:val="12"/>
          <w:szCs w:val="12"/>
          <w:lang w:val="en-AE" w:bidi="ar-IQ"/>
        </w:rPr>
      </w:pPr>
    </w:p>
    <w:tbl>
      <w:tblPr>
        <w:tblStyle w:val="TableGrid2"/>
        <w:tblW w:w="0" w:type="auto"/>
        <w:tblInd w:w="108" w:type="dxa"/>
        <w:tblLook w:val="04A0" w:firstRow="1" w:lastRow="0" w:firstColumn="1" w:lastColumn="0" w:noHBand="0" w:noVBand="1"/>
      </w:tblPr>
      <w:tblGrid>
        <w:gridCol w:w="2229"/>
        <w:gridCol w:w="2337"/>
        <w:gridCol w:w="2338"/>
        <w:gridCol w:w="2338"/>
      </w:tblGrid>
      <w:tr w:rsidR="00294134" w:rsidRPr="00294134" w14:paraId="7B244854" w14:textId="77777777" w:rsidTr="00294134">
        <w:tc>
          <w:tcPr>
            <w:tcW w:w="2229" w:type="dxa"/>
          </w:tcPr>
          <w:p w14:paraId="5DB8BC8E"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b/>
                <w:bCs/>
              </w:rPr>
              <w:t>Characteristics</w:t>
            </w:r>
          </w:p>
        </w:tc>
        <w:tc>
          <w:tcPr>
            <w:tcW w:w="2337" w:type="dxa"/>
          </w:tcPr>
          <w:p w14:paraId="13268ACD" w14:textId="77777777" w:rsidR="00294134" w:rsidRPr="00294134" w:rsidRDefault="00294134" w:rsidP="00294134">
            <w:pPr>
              <w:jc w:val="both"/>
              <w:rPr>
                <w:rFonts w:asciiTheme="majorBidi" w:hAnsiTheme="majorBidi" w:cstheme="majorBidi"/>
                <w:b/>
                <w:bCs/>
              </w:rPr>
            </w:pPr>
            <w:r w:rsidRPr="00294134">
              <w:rPr>
                <w:rFonts w:asciiTheme="majorBidi" w:hAnsiTheme="majorBidi" w:cstheme="majorBidi"/>
                <w:b/>
                <w:bCs/>
              </w:rPr>
              <w:t>Thyroid cancer patients (50)</w:t>
            </w:r>
          </w:p>
        </w:tc>
        <w:tc>
          <w:tcPr>
            <w:tcW w:w="2338" w:type="dxa"/>
          </w:tcPr>
          <w:p w14:paraId="48A78D93" w14:textId="77777777" w:rsidR="00294134" w:rsidRPr="00294134" w:rsidRDefault="00294134" w:rsidP="00294134">
            <w:pPr>
              <w:jc w:val="both"/>
              <w:rPr>
                <w:rFonts w:asciiTheme="majorBidi" w:hAnsiTheme="majorBidi" w:cstheme="majorBidi"/>
                <w:b/>
                <w:bCs/>
              </w:rPr>
            </w:pPr>
            <w:r w:rsidRPr="00294134">
              <w:rPr>
                <w:rFonts w:asciiTheme="majorBidi" w:hAnsiTheme="majorBidi" w:cstheme="majorBidi"/>
                <w:b/>
                <w:bCs/>
              </w:rPr>
              <w:t>Control group</w:t>
            </w:r>
          </w:p>
          <w:p w14:paraId="5EEF1598" w14:textId="77777777" w:rsidR="00294134" w:rsidRPr="00294134" w:rsidRDefault="00294134" w:rsidP="00294134">
            <w:pPr>
              <w:jc w:val="both"/>
              <w:rPr>
                <w:rFonts w:asciiTheme="majorBidi" w:hAnsiTheme="majorBidi" w:cstheme="majorBidi"/>
                <w:b/>
                <w:bCs/>
              </w:rPr>
            </w:pPr>
            <w:r w:rsidRPr="00294134">
              <w:rPr>
                <w:rFonts w:asciiTheme="majorBidi" w:hAnsiTheme="majorBidi" w:cstheme="majorBidi"/>
                <w:b/>
                <w:bCs/>
              </w:rPr>
              <w:t>(50)</w:t>
            </w:r>
          </w:p>
        </w:tc>
        <w:tc>
          <w:tcPr>
            <w:tcW w:w="2338" w:type="dxa"/>
          </w:tcPr>
          <w:p w14:paraId="151C5637" w14:textId="77777777" w:rsidR="00294134" w:rsidRPr="00294134" w:rsidRDefault="00294134" w:rsidP="00294134">
            <w:pPr>
              <w:jc w:val="both"/>
              <w:rPr>
                <w:rFonts w:asciiTheme="majorBidi" w:hAnsiTheme="majorBidi" w:cstheme="majorBidi"/>
                <w:b/>
                <w:bCs/>
              </w:rPr>
            </w:pPr>
            <w:r w:rsidRPr="00294134">
              <w:rPr>
                <w:rFonts w:asciiTheme="majorBidi" w:hAnsiTheme="majorBidi" w:cstheme="majorBidi"/>
                <w:b/>
                <w:bCs/>
              </w:rPr>
              <w:t>P value</w:t>
            </w:r>
          </w:p>
        </w:tc>
      </w:tr>
      <w:tr w:rsidR="00294134" w:rsidRPr="00294134" w14:paraId="4BDA9542" w14:textId="77777777" w:rsidTr="00294134">
        <w:tc>
          <w:tcPr>
            <w:tcW w:w="2229" w:type="dxa"/>
          </w:tcPr>
          <w:p w14:paraId="39F7C23E" w14:textId="77777777" w:rsidR="00294134" w:rsidRPr="00294134" w:rsidRDefault="00294134" w:rsidP="00294134">
            <w:pPr>
              <w:jc w:val="both"/>
              <w:rPr>
                <w:rFonts w:asciiTheme="majorBidi" w:hAnsiTheme="majorBidi" w:cstheme="majorBidi"/>
              </w:rPr>
            </w:pPr>
            <w:r w:rsidRPr="00294134">
              <w:rPr>
                <w:rFonts w:asciiTheme="majorBidi" w:eastAsia="Calibri" w:hAnsiTheme="majorBidi" w:cstheme="majorBidi"/>
                <w:b/>
              </w:rPr>
              <w:t>Age mean</w:t>
            </w:r>
          </w:p>
        </w:tc>
        <w:tc>
          <w:tcPr>
            <w:tcW w:w="2337" w:type="dxa"/>
          </w:tcPr>
          <w:p w14:paraId="70E3846F"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53.70±7.39</w:t>
            </w:r>
          </w:p>
        </w:tc>
        <w:tc>
          <w:tcPr>
            <w:tcW w:w="2338" w:type="dxa"/>
          </w:tcPr>
          <w:p w14:paraId="635C9434"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46.00±10.73</w:t>
            </w:r>
          </w:p>
        </w:tc>
        <w:tc>
          <w:tcPr>
            <w:tcW w:w="2338" w:type="dxa"/>
          </w:tcPr>
          <w:p w14:paraId="71AE6EB9"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&lt; 0.004</w:t>
            </w:r>
          </w:p>
        </w:tc>
      </w:tr>
      <w:tr w:rsidR="00294134" w:rsidRPr="00294134" w14:paraId="6E616F79" w14:textId="77777777" w:rsidTr="00294134">
        <w:tc>
          <w:tcPr>
            <w:tcW w:w="9242" w:type="dxa"/>
            <w:gridSpan w:val="4"/>
          </w:tcPr>
          <w:p w14:paraId="1B9CEDF4"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b/>
                <w:bCs/>
              </w:rPr>
              <w:t>Gender</w:t>
            </w:r>
          </w:p>
        </w:tc>
      </w:tr>
      <w:tr w:rsidR="00294134" w:rsidRPr="00294134" w14:paraId="436F8A0F" w14:textId="77777777" w:rsidTr="00294134">
        <w:tc>
          <w:tcPr>
            <w:tcW w:w="2229" w:type="dxa"/>
          </w:tcPr>
          <w:p w14:paraId="2AFE59E3" w14:textId="77777777" w:rsidR="00294134" w:rsidRPr="00294134" w:rsidRDefault="00294134" w:rsidP="00294134">
            <w:pPr>
              <w:tabs>
                <w:tab w:val="center" w:pos="2320"/>
              </w:tabs>
              <w:jc w:val="both"/>
              <w:rPr>
                <w:rFonts w:asciiTheme="majorBidi" w:hAnsiTheme="majorBidi" w:cstheme="majorBidi"/>
              </w:rPr>
            </w:pPr>
            <w:r w:rsidRPr="00294134">
              <w:rPr>
                <w:rFonts w:asciiTheme="majorBidi" w:hAnsiTheme="majorBidi" w:cstheme="majorBidi"/>
              </w:rPr>
              <w:t>Female</w:t>
            </w:r>
          </w:p>
        </w:tc>
        <w:tc>
          <w:tcPr>
            <w:tcW w:w="2337" w:type="dxa"/>
            <w:vAlign w:val="center"/>
          </w:tcPr>
          <w:p w14:paraId="7ACB26B6"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23</w:t>
            </w:r>
          </w:p>
        </w:tc>
        <w:tc>
          <w:tcPr>
            <w:tcW w:w="2338" w:type="dxa"/>
            <w:vAlign w:val="center"/>
          </w:tcPr>
          <w:p w14:paraId="5E991EBC"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 xml:space="preserve">23 </w:t>
            </w:r>
          </w:p>
        </w:tc>
        <w:tc>
          <w:tcPr>
            <w:tcW w:w="2338" w:type="dxa"/>
            <w:vMerge w:val="restart"/>
          </w:tcPr>
          <w:p w14:paraId="333CED7C"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&gt; 0.05</w:t>
            </w:r>
          </w:p>
        </w:tc>
      </w:tr>
      <w:tr w:rsidR="00294134" w:rsidRPr="00294134" w14:paraId="6649EA50" w14:textId="77777777" w:rsidTr="00294134">
        <w:tc>
          <w:tcPr>
            <w:tcW w:w="2229" w:type="dxa"/>
          </w:tcPr>
          <w:p w14:paraId="29103D63" w14:textId="77777777" w:rsidR="00294134" w:rsidRPr="00294134" w:rsidRDefault="00294134" w:rsidP="00294134">
            <w:pPr>
              <w:tabs>
                <w:tab w:val="center" w:pos="2218"/>
              </w:tabs>
              <w:jc w:val="both"/>
              <w:rPr>
                <w:rFonts w:asciiTheme="majorBidi" w:hAnsiTheme="majorBidi" w:cstheme="majorBidi"/>
              </w:rPr>
            </w:pPr>
            <w:r w:rsidRPr="00294134">
              <w:rPr>
                <w:rFonts w:asciiTheme="majorBidi" w:hAnsiTheme="majorBidi" w:cstheme="majorBidi"/>
              </w:rPr>
              <w:t xml:space="preserve">Male </w:t>
            </w:r>
          </w:p>
        </w:tc>
        <w:tc>
          <w:tcPr>
            <w:tcW w:w="2337" w:type="dxa"/>
          </w:tcPr>
          <w:p w14:paraId="6F0FD3EE"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 xml:space="preserve">27 </w:t>
            </w:r>
          </w:p>
        </w:tc>
        <w:tc>
          <w:tcPr>
            <w:tcW w:w="2338" w:type="dxa"/>
          </w:tcPr>
          <w:p w14:paraId="4D4250EA"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 xml:space="preserve">27 </w:t>
            </w:r>
          </w:p>
        </w:tc>
        <w:tc>
          <w:tcPr>
            <w:tcW w:w="2338" w:type="dxa"/>
            <w:vMerge/>
          </w:tcPr>
          <w:p w14:paraId="0426F9CD" w14:textId="77777777" w:rsidR="00294134" w:rsidRPr="00294134" w:rsidRDefault="00294134" w:rsidP="00294134">
            <w:pPr>
              <w:jc w:val="both"/>
              <w:rPr>
                <w:rFonts w:asciiTheme="majorBidi" w:hAnsiTheme="majorBidi" w:cstheme="majorBidi"/>
              </w:rPr>
            </w:pPr>
          </w:p>
        </w:tc>
      </w:tr>
      <w:tr w:rsidR="00294134" w:rsidRPr="00294134" w14:paraId="430C5546" w14:textId="77777777" w:rsidTr="00294134">
        <w:tc>
          <w:tcPr>
            <w:tcW w:w="2229" w:type="dxa"/>
          </w:tcPr>
          <w:p w14:paraId="3CAEEBC9" w14:textId="77777777" w:rsidR="00294134" w:rsidRPr="00294134" w:rsidRDefault="00294134" w:rsidP="00294134">
            <w:pPr>
              <w:tabs>
                <w:tab w:val="center" w:pos="2218"/>
              </w:tabs>
              <w:jc w:val="both"/>
              <w:rPr>
                <w:rFonts w:asciiTheme="majorBidi" w:hAnsiTheme="majorBidi" w:cstheme="majorBidi"/>
              </w:rPr>
            </w:pPr>
            <w:r w:rsidRPr="00294134">
              <w:rPr>
                <w:rFonts w:asciiTheme="majorBidi" w:hAnsiTheme="majorBidi" w:cstheme="majorBidi"/>
              </w:rPr>
              <w:t>Smoking history</w:t>
            </w:r>
          </w:p>
        </w:tc>
        <w:tc>
          <w:tcPr>
            <w:tcW w:w="2337" w:type="dxa"/>
          </w:tcPr>
          <w:p w14:paraId="1D984701"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21</w:t>
            </w:r>
          </w:p>
        </w:tc>
        <w:tc>
          <w:tcPr>
            <w:tcW w:w="2338" w:type="dxa"/>
          </w:tcPr>
          <w:p w14:paraId="75E8A1B0"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14</w:t>
            </w:r>
          </w:p>
        </w:tc>
        <w:tc>
          <w:tcPr>
            <w:tcW w:w="2338" w:type="dxa"/>
          </w:tcPr>
          <w:p w14:paraId="788FE335"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0.208</w:t>
            </w:r>
          </w:p>
        </w:tc>
      </w:tr>
      <w:tr w:rsidR="00294134" w:rsidRPr="00294134" w14:paraId="617284A4" w14:textId="77777777" w:rsidTr="00294134">
        <w:tc>
          <w:tcPr>
            <w:tcW w:w="2229" w:type="dxa"/>
          </w:tcPr>
          <w:p w14:paraId="4B30435C" w14:textId="77777777" w:rsidR="00294134" w:rsidRPr="00294134" w:rsidRDefault="00294134" w:rsidP="00294134">
            <w:pPr>
              <w:tabs>
                <w:tab w:val="center" w:pos="2218"/>
              </w:tabs>
              <w:jc w:val="both"/>
              <w:rPr>
                <w:rFonts w:asciiTheme="majorBidi" w:hAnsiTheme="majorBidi" w:cstheme="majorBidi"/>
              </w:rPr>
            </w:pPr>
            <w:r w:rsidRPr="00294134">
              <w:rPr>
                <w:rFonts w:asciiTheme="majorBidi" w:hAnsiTheme="majorBidi" w:cstheme="majorBidi"/>
              </w:rPr>
              <w:t>Family history of cancer</w:t>
            </w:r>
          </w:p>
        </w:tc>
        <w:tc>
          <w:tcPr>
            <w:tcW w:w="2337" w:type="dxa"/>
          </w:tcPr>
          <w:p w14:paraId="1594ED9A"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12</w:t>
            </w:r>
          </w:p>
        </w:tc>
        <w:tc>
          <w:tcPr>
            <w:tcW w:w="2338" w:type="dxa"/>
          </w:tcPr>
          <w:p w14:paraId="0D6BE3DF"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3</w:t>
            </w:r>
          </w:p>
        </w:tc>
        <w:tc>
          <w:tcPr>
            <w:tcW w:w="2338" w:type="dxa"/>
          </w:tcPr>
          <w:p w14:paraId="7F119AF4"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0.02</w:t>
            </w:r>
          </w:p>
        </w:tc>
      </w:tr>
    </w:tbl>
    <w:p w14:paraId="35BDE9E8" w14:textId="77777777" w:rsidR="00294134" w:rsidRDefault="00294134" w:rsidP="00294134">
      <w:pPr>
        <w:jc w:val="both"/>
        <w:rPr>
          <w:rFonts w:asciiTheme="majorBidi" w:eastAsia="Calibri" w:hAnsiTheme="majorBidi" w:cstheme="majorBidi"/>
          <w:lang w:val="en-AE" w:bidi="ar-IQ"/>
        </w:rPr>
      </w:pPr>
    </w:p>
    <w:p w14:paraId="111B8DB8" w14:textId="38EE76AC" w:rsidR="00294134" w:rsidRPr="00294134" w:rsidRDefault="00294134" w:rsidP="008153BF">
      <w:pPr>
        <w:jc w:val="both"/>
        <w:rPr>
          <w:rFonts w:asciiTheme="majorBidi" w:eastAsia="Calibri" w:hAnsiTheme="majorBidi" w:cstheme="majorBidi"/>
          <w:rtl/>
          <w:lang w:val="en-AE" w:bidi="ar-IQ"/>
        </w:rPr>
      </w:pPr>
      <w:r w:rsidRPr="00294134">
        <w:rPr>
          <w:rFonts w:asciiTheme="majorBidi" w:eastAsia="Calibri" w:hAnsiTheme="majorBidi" w:cstheme="majorBidi"/>
          <w:lang w:bidi="ar-IQ"/>
        </w:rPr>
        <w:t xml:space="preserve">Serum urea and creatinine concentrations in thyroid cancer patients with positive and negative bacterial infections are shown in Table 3.  People with positive bacterial infections have higher serum urea and creatinine levels than those with negative infections (P values of 0.03 and 0.02, respectively). Patients with positive bacterial infections have an average blood urea level of 26.5 ± 6.16 mg/dl, while those without infectious conditions have 21.7 ± 7.29 mg/dl.  The statistically significant P value (0.03) suggests a strong link between bacterial illness and high blood urea.  Infection-induced catabolism may increase urea concentrations, as shown by </w:t>
      </w:r>
      <w:proofErr w:type="spellStart"/>
      <w:r w:rsidRPr="00294134">
        <w:rPr>
          <w:rFonts w:asciiTheme="majorBidi" w:eastAsia="Calibri" w:hAnsiTheme="majorBidi" w:cstheme="majorBidi"/>
          <w:lang w:bidi="ar-IQ"/>
        </w:rPr>
        <w:t>Kogure</w:t>
      </w:r>
      <w:proofErr w:type="spellEnd"/>
      <w:r w:rsidRPr="00294134">
        <w:rPr>
          <w:rFonts w:asciiTheme="majorBidi" w:eastAsia="Calibri" w:hAnsiTheme="majorBidi" w:cstheme="majorBidi"/>
          <w:lang w:bidi="ar-IQ"/>
        </w:rPr>
        <w:t xml:space="preserve"> </w:t>
      </w:r>
      <w:r w:rsidRPr="00294134">
        <w:rPr>
          <w:rFonts w:asciiTheme="majorBidi" w:eastAsia="Calibri" w:hAnsiTheme="majorBidi" w:cstheme="majorBidi"/>
          <w:i/>
          <w:iCs/>
          <w:lang w:bidi="ar-IQ"/>
        </w:rPr>
        <w:t>et al</w:t>
      </w:r>
      <w:r w:rsidRPr="00294134">
        <w:rPr>
          <w:rFonts w:asciiTheme="majorBidi" w:eastAsia="Calibri" w:hAnsiTheme="majorBidi" w:cstheme="majorBidi"/>
          <w:lang w:bidi="ar-IQ"/>
        </w:rPr>
        <w:t xml:space="preserve">. (2020) and </w:t>
      </w:r>
      <w:proofErr w:type="spellStart"/>
      <w:r w:rsidRPr="00294134">
        <w:rPr>
          <w:rFonts w:asciiTheme="majorBidi" w:eastAsia="Calibri" w:hAnsiTheme="majorBidi" w:cstheme="majorBidi"/>
          <w:lang w:bidi="ar-IQ"/>
        </w:rPr>
        <w:t>Kerdpin</w:t>
      </w:r>
      <w:proofErr w:type="spellEnd"/>
      <w:r w:rsidRPr="00294134">
        <w:rPr>
          <w:rFonts w:asciiTheme="majorBidi" w:eastAsia="Calibri" w:hAnsiTheme="majorBidi" w:cstheme="majorBidi"/>
          <w:lang w:bidi="ar-IQ"/>
        </w:rPr>
        <w:t xml:space="preserve"> </w:t>
      </w:r>
      <w:r w:rsidRPr="00294134">
        <w:rPr>
          <w:rFonts w:asciiTheme="majorBidi" w:eastAsia="Calibri" w:hAnsiTheme="majorBidi" w:cstheme="majorBidi"/>
          <w:i/>
          <w:iCs/>
          <w:lang w:bidi="ar-IQ"/>
        </w:rPr>
        <w:t>et al</w:t>
      </w:r>
      <w:r w:rsidRPr="00294134">
        <w:rPr>
          <w:rFonts w:asciiTheme="majorBidi" w:eastAsia="Calibri" w:hAnsiTheme="majorBidi" w:cstheme="majorBidi"/>
          <w:lang w:bidi="ar-IQ"/>
        </w:rPr>
        <w:t>. (2019</w:t>
      </w:r>
      <w:r w:rsidR="008153BF">
        <w:rPr>
          <w:rFonts w:asciiTheme="majorBidi" w:eastAsia="Calibri" w:hAnsiTheme="majorBidi" w:cstheme="majorBidi"/>
          <w:lang w:bidi="ar-IQ"/>
        </w:rPr>
        <w:t xml:space="preserve">) </w:t>
      </w:r>
      <w:r w:rsidRPr="00294134">
        <w:rPr>
          <w:rFonts w:asciiTheme="majorBidi" w:eastAsia="Calibri" w:hAnsiTheme="majorBidi" w:cstheme="majorBidi"/>
          <w:lang w:bidi="ar-IQ"/>
        </w:rPr>
        <w:t>[14]. Individuals with positive bacterial infections have significantly higher serum creatinine levels (1.85 ± 0.301 mg/dl) compared to those without (1.55 ± 0.299 mg/dl), with a P value of 0.02.  [15]. found that infections can damage the kid</w:t>
      </w:r>
      <w:r>
        <w:rPr>
          <w:rFonts w:asciiTheme="majorBidi" w:eastAsia="Calibri" w:hAnsiTheme="majorBidi" w:cstheme="majorBidi"/>
          <w:lang w:bidi="ar-IQ"/>
        </w:rPr>
        <w:t>neys, raising creatinine levels</w:t>
      </w:r>
      <w:r w:rsidRPr="00294134">
        <w:rPr>
          <w:rFonts w:asciiTheme="majorBidi" w:eastAsia="Calibri" w:hAnsiTheme="majorBidi" w:cstheme="majorBidi"/>
          <w:lang w:bidi="ar-IQ"/>
        </w:rPr>
        <w:t>.</w:t>
      </w:r>
      <w:r w:rsidR="00697644">
        <w:rPr>
          <w:rFonts w:asciiTheme="majorBidi" w:eastAsia="Calibri" w:hAnsiTheme="majorBidi" w:cstheme="majorBidi"/>
          <w:lang w:val="en-AE" w:bidi="ar-IQ"/>
        </w:rPr>
        <w:t xml:space="preserve"> </w:t>
      </w:r>
    </w:p>
    <w:p w14:paraId="45361048" w14:textId="77777777" w:rsidR="00294134" w:rsidRPr="00294134" w:rsidRDefault="00294134" w:rsidP="00697644">
      <w:pPr>
        <w:jc w:val="both"/>
        <w:rPr>
          <w:rFonts w:asciiTheme="majorBidi" w:eastAsia="Calibri" w:hAnsiTheme="majorBidi" w:cstheme="majorBidi"/>
          <w:b/>
          <w:bCs/>
        </w:rPr>
      </w:pPr>
    </w:p>
    <w:p w14:paraId="461B842E" w14:textId="77777777" w:rsidR="00294134" w:rsidRDefault="00294134" w:rsidP="00697644">
      <w:pPr>
        <w:jc w:val="both"/>
        <w:rPr>
          <w:rFonts w:asciiTheme="majorBidi" w:eastAsia="Calibri" w:hAnsiTheme="majorBidi" w:cstheme="majorBidi"/>
          <w:b/>
          <w:bCs/>
          <w:lang w:val="en-AE"/>
        </w:rPr>
      </w:pPr>
      <w:r w:rsidRPr="00294134">
        <w:rPr>
          <w:rFonts w:asciiTheme="majorBidi" w:eastAsia="Calibri" w:hAnsiTheme="majorBidi" w:cstheme="majorBidi"/>
          <w:b/>
          <w:bCs/>
        </w:rPr>
        <w:t xml:space="preserve">Tables 3: relationship of bacterial infection and kidney function (urea and </w:t>
      </w:r>
      <w:proofErr w:type="gramStart"/>
      <w:r w:rsidRPr="00294134">
        <w:rPr>
          <w:rFonts w:asciiTheme="majorBidi" w:eastAsia="Calibri" w:hAnsiTheme="majorBidi" w:cstheme="majorBidi"/>
          <w:b/>
          <w:bCs/>
        </w:rPr>
        <w:t>creatinine )in</w:t>
      </w:r>
      <w:proofErr w:type="gramEnd"/>
      <w:r w:rsidRPr="00294134">
        <w:rPr>
          <w:rFonts w:asciiTheme="majorBidi" w:eastAsia="Calibri" w:hAnsiTheme="majorBidi" w:cstheme="majorBidi"/>
          <w:b/>
          <w:bCs/>
        </w:rPr>
        <w:t xml:space="preserve"> thyroid cancer patients </w:t>
      </w:r>
    </w:p>
    <w:p w14:paraId="73E3E156" w14:textId="77777777" w:rsidR="00697644" w:rsidRPr="00294134" w:rsidRDefault="00697644" w:rsidP="00697644">
      <w:pPr>
        <w:jc w:val="both"/>
        <w:rPr>
          <w:rFonts w:asciiTheme="majorBidi" w:eastAsia="Calibri" w:hAnsiTheme="majorBidi" w:cstheme="majorBidi"/>
          <w:b/>
          <w:bCs/>
          <w:sz w:val="12"/>
          <w:szCs w:val="12"/>
          <w:lang w:val="en-AE"/>
        </w:rPr>
      </w:pPr>
    </w:p>
    <w:tbl>
      <w:tblPr>
        <w:tblStyle w:val="TableGrid2"/>
        <w:tblW w:w="0" w:type="auto"/>
        <w:tblInd w:w="108" w:type="dxa"/>
        <w:tblLook w:val="04A0" w:firstRow="1" w:lastRow="0" w:firstColumn="1" w:lastColumn="0" w:noHBand="0" w:noVBand="1"/>
      </w:tblPr>
      <w:tblGrid>
        <w:gridCol w:w="2229"/>
        <w:gridCol w:w="2337"/>
        <w:gridCol w:w="2338"/>
        <w:gridCol w:w="2338"/>
      </w:tblGrid>
      <w:tr w:rsidR="00294134" w:rsidRPr="00294134" w14:paraId="1A900FF3" w14:textId="77777777" w:rsidTr="00697644">
        <w:tc>
          <w:tcPr>
            <w:tcW w:w="2229" w:type="dxa"/>
          </w:tcPr>
          <w:p w14:paraId="28AAB360"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parameter</w:t>
            </w:r>
          </w:p>
        </w:tc>
        <w:tc>
          <w:tcPr>
            <w:tcW w:w="2337" w:type="dxa"/>
          </w:tcPr>
          <w:p w14:paraId="37B03B79"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positive  bacterial infection(21)</w:t>
            </w:r>
          </w:p>
        </w:tc>
        <w:tc>
          <w:tcPr>
            <w:tcW w:w="2338" w:type="dxa"/>
          </w:tcPr>
          <w:p w14:paraId="7EE66360"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negative bacterial infection(29)</w:t>
            </w:r>
          </w:p>
        </w:tc>
        <w:tc>
          <w:tcPr>
            <w:tcW w:w="2338" w:type="dxa"/>
          </w:tcPr>
          <w:p w14:paraId="677F5295"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P value</w:t>
            </w:r>
          </w:p>
        </w:tc>
      </w:tr>
      <w:tr w:rsidR="00294134" w:rsidRPr="00294134" w14:paraId="312247BC" w14:textId="77777777" w:rsidTr="00697644">
        <w:tc>
          <w:tcPr>
            <w:tcW w:w="2229" w:type="dxa"/>
          </w:tcPr>
          <w:p w14:paraId="23C08D62"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Urea(mg/dl)</w:t>
            </w:r>
          </w:p>
        </w:tc>
        <w:tc>
          <w:tcPr>
            <w:tcW w:w="2337" w:type="dxa"/>
          </w:tcPr>
          <w:p w14:paraId="2CFCB39B"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26.5±6.16</w:t>
            </w:r>
          </w:p>
        </w:tc>
        <w:tc>
          <w:tcPr>
            <w:tcW w:w="2338" w:type="dxa"/>
          </w:tcPr>
          <w:p w14:paraId="75831454"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21.7±7.29</w:t>
            </w:r>
          </w:p>
        </w:tc>
        <w:tc>
          <w:tcPr>
            <w:tcW w:w="2338" w:type="dxa"/>
          </w:tcPr>
          <w:p w14:paraId="40AFBE3F"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0.03</w:t>
            </w:r>
          </w:p>
        </w:tc>
      </w:tr>
      <w:tr w:rsidR="00294134" w:rsidRPr="00294134" w14:paraId="35E5EC6E" w14:textId="77777777" w:rsidTr="00697644">
        <w:tc>
          <w:tcPr>
            <w:tcW w:w="2229" w:type="dxa"/>
          </w:tcPr>
          <w:p w14:paraId="0B26D0C4"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Creatinine(mg/dl)</w:t>
            </w:r>
          </w:p>
        </w:tc>
        <w:tc>
          <w:tcPr>
            <w:tcW w:w="2337" w:type="dxa"/>
          </w:tcPr>
          <w:p w14:paraId="6B239E08"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1.85±0.301</w:t>
            </w:r>
          </w:p>
        </w:tc>
        <w:tc>
          <w:tcPr>
            <w:tcW w:w="2338" w:type="dxa"/>
          </w:tcPr>
          <w:p w14:paraId="507286E6"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1.55±0.299</w:t>
            </w:r>
          </w:p>
        </w:tc>
        <w:tc>
          <w:tcPr>
            <w:tcW w:w="2338" w:type="dxa"/>
          </w:tcPr>
          <w:p w14:paraId="54AE1845"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0.02</w:t>
            </w:r>
          </w:p>
        </w:tc>
      </w:tr>
    </w:tbl>
    <w:p w14:paraId="445EA965" w14:textId="77777777" w:rsidR="00697644" w:rsidRDefault="00697644" w:rsidP="00697644">
      <w:pPr>
        <w:rPr>
          <w:rFonts w:asciiTheme="majorBidi" w:eastAsia="Calibri" w:hAnsiTheme="majorBidi" w:cstheme="majorBidi"/>
          <w:lang w:val="en-AE" w:bidi="ar-IQ"/>
        </w:rPr>
      </w:pPr>
    </w:p>
    <w:p w14:paraId="705123E3" w14:textId="456FB03F" w:rsidR="00294134" w:rsidRDefault="00294134" w:rsidP="00697644">
      <w:pPr>
        <w:rPr>
          <w:rFonts w:asciiTheme="majorBidi" w:eastAsia="Calibri" w:hAnsiTheme="majorBidi" w:cstheme="majorBidi"/>
          <w:lang w:val="en-AE" w:bidi="ar-IQ"/>
        </w:rPr>
      </w:pPr>
      <w:r w:rsidRPr="00294134">
        <w:rPr>
          <w:rFonts w:asciiTheme="majorBidi" w:eastAsia="Calibri" w:hAnsiTheme="majorBidi" w:cstheme="majorBidi"/>
          <w:lang w:bidi="ar-IQ"/>
        </w:rPr>
        <w:t>In table 4, liver function markers show no significant differences in alkaline phosphatase and alanine aminotransferases between infected and non-infected thyroid cancer patients, suggesting that bacterial infections do not affect liver function in this group.</w:t>
      </w:r>
      <w:r w:rsidR="00697644">
        <w:rPr>
          <w:rFonts w:asciiTheme="majorBidi" w:eastAsia="Calibri" w:hAnsiTheme="majorBidi" w:cstheme="majorBidi"/>
          <w:lang w:val="en-AE" w:bidi="ar-IQ"/>
        </w:rPr>
        <w:t xml:space="preserve"> </w:t>
      </w:r>
    </w:p>
    <w:p w14:paraId="195F6BD5" w14:textId="77777777" w:rsidR="00697644" w:rsidRPr="00294134" w:rsidRDefault="00697644" w:rsidP="00697644">
      <w:pPr>
        <w:rPr>
          <w:rFonts w:asciiTheme="majorBidi" w:eastAsia="Calibri" w:hAnsiTheme="majorBidi" w:cstheme="majorBidi"/>
          <w:sz w:val="12"/>
          <w:szCs w:val="12"/>
          <w:lang w:val="en-AE" w:bidi="ar-IQ"/>
        </w:rPr>
      </w:pPr>
    </w:p>
    <w:p w14:paraId="73DAC1A9" w14:textId="74CD09B0" w:rsidR="00294134" w:rsidRDefault="00697644" w:rsidP="00697644">
      <w:pPr>
        <w:jc w:val="both"/>
        <w:rPr>
          <w:rFonts w:asciiTheme="majorBidi" w:eastAsia="Calibri" w:hAnsiTheme="majorBidi" w:cstheme="majorBidi"/>
          <w:lang w:val="en-AE" w:bidi="ar-IQ"/>
        </w:rPr>
      </w:pPr>
      <w:r>
        <w:rPr>
          <w:rFonts w:asciiTheme="majorBidi" w:eastAsia="Calibri" w:hAnsiTheme="majorBidi" w:cstheme="majorBidi"/>
          <w:lang w:val="en-AE" w:bidi="ar-IQ"/>
        </w:rPr>
        <w:t>[</w:t>
      </w:r>
      <w:r w:rsidR="00294134" w:rsidRPr="00294134">
        <w:rPr>
          <w:rFonts w:asciiTheme="majorBidi" w:eastAsia="Calibri" w:hAnsiTheme="majorBidi" w:cstheme="majorBidi"/>
          <w:lang w:bidi="ar-IQ"/>
        </w:rPr>
        <w:t xml:space="preserve">16] found that chronic infections often raise ALP levels due to bone turnover or biliary obstruction.  This study's insignificant results suggest that acute bacterial infections may not affect thyroid cancer patients' ALP levels. Mean alanine aminotransferase levels are 139 ± 18.2 U/L for those with positive bacterial infections and 141 ± 15.6 U/L for those without, with a P value of 0.76, indicating no significant difference.  Infections can raise ALT levels, according to Wong </w:t>
      </w:r>
      <w:r w:rsidR="00294134" w:rsidRPr="00294134">
        <w:rPr>
          <w:rFonts w:asciiTheme="majorBidi" w:eastAsia="Calibri" w:hAnsiTheme="majorBidi" w:cstheme="majorBidi"/>
          <w:i/>
          <w:iCs/>
          <w:lang w:bidi="ar-IQ"/>
        </w:rPr>
        <w:t>et al</w:t>
      </w:r>
      <w:r w:rsidR="00294134" w:rsidRPr="00294134">
        <w:rPr>
          <w:rFonts w:asciiTheme="majorBidi" w:eastAsia="Calibri" w:hAnsiTheme="majorBidi" w:cstheme="majorBidi"/>
          <w:lang w:bidi="ar-IQ"/>
        </w:rPr>
        <w:t>. (2019) [17]. In thyroid cancer patients, bacterial infections may not significantly impact hepatic function in the short term [18].  ALT elevations may indicate pre-existing liver function rather than acute infection.</w:t>
      </w:r>
      <w:r>
        <w:rPr>
          <w:rFonts w:asciiTheme="majorBidi" w:eastAsia="Calibri" w:hAnsiTheme="majorBidi" w:cstheme="majorBidi"/>
          <w:lang w:val="en-AE" w:bidi="ar-IQ"/>
        </w:rPr>
        <w:t xml:space="preserve"> </w:t>
      </w:r>
    </w:p>
    <w:p w14:paraId="13362333" w14:textId="77777777" w:rsidR="00697644" w:rsidRDefault="00697644" w:rsidP="00697644">
      <w:pPr>
        <w:jc w:val="both"/>
        <w:rPr>
          <w:rFonts w:asciiTheme="majorBidi" w:eastAsia="Calibri" w:hAnsiTheme="majorBidi" w:cstheme="majorBidi"/>
          <w:lang w:val="en-AE" w:bidi="ar-IQ"/>
        </w:rPr>
      </w:pPr>
    </w:p>
    <w:p w14:paraId="47F32A15" w14:textId="77777777" w:rsidR="00697644" w:rsidRDefault="00697644" w:rsidP="00697644">
      <w:pPr>
        <w:jc w:val="both"/>
        <w:rPr>
          <w:rFonts w:asciiTheme="majorBidi" w:eastAsia="Calibri" w:hAnsiTheme="majorBidi" w:cstheme="majorBidi"/>
          <w:lang w:val="en-AE" w:bidi="ar-IQ"/>
        </w:rPr>
      </w:pPr>
    </w:p>
    <w:p w14:paraId="56A248F6" w14:textId="77777777" w:rsidR="00697644" w:rsidRDefault="00697644" w:rsidP="00697644">
      <w:pPr>
        <w:jc w:val="both"/>
        <w:rPr>
          <w:rFonts w:asciiTheme="majorBidi" w:eastAsia="Calibri" w:hAnsiTheme="majorBidi" w:cstheme="majorBidi"/>
          <w:lang w:val="en-AE" w:bidi="ar-IQ"/>
        </w:rPr>
      </w:pPr>
    </w:p>
    <w:p w14:paraId="2AD5DD56" w14:textId="77777777" w:rsidR="00697644" w:rsidRPr="00294134" w:rsidRDefault="00697644" w:rsidP="00697644">
      <w:pPr>
        <w:jc w:val="both"/>
        <w:rPr>
          <w:rFonts w:asciiTheme="majorBidi" w:eastAsia="Calibri" w:hAnsiTheme="majorBidi" w:cstheme="majorBidi"/>
          <w:rtl/>
          <w:lang w:val="en-AE" w:bidi="ar-IQ"/>
        </w:rPr>
      </w:pPr>
    </w:p>
    <w:p w14:paraId="2A445686" w14:textId="77777777" w:rsidR="00294134" w:rsidRDefault="00294134" w:rsidP="00697644">
      <w:pPr>
        <w:jc w:val="both"/>
        <w:rPr>
          <w:rFonts w:asciiTheme="majorBidi" w:eastAsia="Calibri" w:hAnsiTheme="majorBidi" w:cstheme="majorBidi"/>
          <w:b/>
          <w:bCs/>
          <w:lang w:val="en-AE"/>
        </w:rPr>
      </w:pPr>
      <w:r w:rsidRPr="00294134">
        <w:rPr>
          <w:rFonts w:asciiTheme="majorBidi" w:eastAsia="Calibri" w:hAnsiTheme="majorBidi" w:cstheme="majorBidi"/>
          <w:b/>
          <w:bCs/>
        </w:rPr>
        <w:lastRenderedPageBreak/>
        <w:t xml:space="preserve">A tables 4: a relationship of bacterial infection and liver </w:t>
      </w:r>
      <w:proofErr w:type="gramStart"/>
      <w:r w:rsidRPr="00294134">
        <w:rPr>
          <w:rFonts w:asciiTheme="majorBidi" w:eastAsia="Calibri" w:hAnsiTheme="majorBidi" w:cstheme="majorBidi"/>
          <w:b/>
          <w:bCs/>
        </w:rPr>
        <w:t>function(</w:t>
      </w:r>
      <w:proofErr w:type="gramEnd"/>
      <w:r w:rsidRPr="00294134">
        <w:rPr>
          <w:rFonts w:asciiTheme="majorBidi" w:eastAsia="Calibri" w:hAnsiTheme="majorBidi" w:cstheme="majorBidi"/>
          <w:b/>
          <w:bCs/>
        </w:rPr>
        <w:t xml:space="preserve"> Alkaline Phosphatase ,Alanine Aminotransferase )among thyroid cancer </w:t>
      </w:r>
    </w:p>
    <w:p w14:paraId="64F72A90" w14:textId="77777777" w:rsidR="00697644" w:rsidRPr="00294134" w:rsidRDefault="00697644" w:rsidP="00697644">
      <w:pPr>
        <w:jc w:val="both"/>
        <w:rPr>
          <w:rFonts w:asciiTheme="majorBidi" w:eastAsia="Calibri" w:hAnsiTheme="majorBidi" w:cstheme="majorBidi"/>
          <w:b/>
          <w:bCs/>
          <w:sz w:val="12"/>
          <w:szCs w:val="12"/>
          <w:lang w:val="en-AE"/>
        </w:rPr>
      </w:pPr>
    </w:p>
    <w:tbl>
      <w:tblPr>
        <w:tblStyle w:val="TableGrid2"/>
        <w:tblW w:w="0" w:type="auto"/>
        <w:tblInd w:w="108" w:type="dxa"/>
        <w:tblLook w:val="04A0" w:firstRow="1" w:lastRow="0" w:firstColumn="1" w:lastColumn="0" w:noHBand="0" w:noVBand="1"/>
      </w:tblPr>
      <w:tblGrid>
        <w:gridCol w:w="2131"/>
        <w:gridCol w:w="2239"/>
        <w:gridCol w:w="2240"/>
        <w:gridCol w:w="2604"/>
      </w:tblGrid>
      <w:tr w:rsidR="00294134" w:rsidRPr="00294134" w14:paraId="3E047294" w14:textId="77777777" w:rsidTr="00697644">
        <w:trPr>
          <w:trHeight w:val="353"/>
        </w:trPr>
        <w:tc>
          <w:tcPr>
            <w:tcW w:w="2131" w:type="dxa"/>
          </w:tcPr>
          <w:p w14:paraId="1AB81C56" w14:textId="77777777" w:rsidR="00294134" w:rsidRPr="00294134" w:rsidRDefault="00294134" w:rsidP="00294134">
            <w:pPr>
              <w:jc w:val="both"/>
              <w:rPr>
                <w:rFonts w:asciiTheme="majorBidi" w:hAnsiTheme="majorBidi" w:cstheme="majorBidi"/>
                <w:b/>
                <w:bCs/>
              </w:rPr>
            </w:pPr>
            <w:r w:rsidRPr="00294134">
              <w:rPr>
                <w:rFonts w:asciiTheme="majorBidi" w:hAnsiTheme="majorBidi" w:cstheme="majorBidi"/>
                <w:b/>
                <w:bCs/>
              </w:rPr>
              <w:t>Parameter</w:t>
            </w:r>
          </w:p>
        </w:tc>
        <w:tc>
          <w:tcPr>
            <w:tcW w:w="2239" w:type="dxa"/>
          </w:tcPr>
          <w:p w14:paraId="2423D7ED" w14:textId="77777777" w:rsidR="00294134" w:rsidRPr="00294134" w:rsidRDefault="00294134" w:rsidP="00294134">
            <w:pPr>
              <w:jc w:val="both"/>
              <w:rPr>
                <w:rFonts w:asciiTheme="majorBidi" w:hAnsiTheme="majorBidi" w:cstheme="majorBidi"/>
                <w:b/>
                <w:bCs/>
              </w:rPr>
            </w:pPr>
            <w:r w:rsidRPr="00294134">
              <w:rPr>
                <w:rFonts w:asciiTheme="majorBidi" w:hAnsiTheme="majorBidi" w:cstheme="majorBidi"/>
                <w:b/>
                <w:bCs/>
              </w:rPr>
              <w:t>Positive  bacterial infection(21)</w:t>
            </w:r>
          </w:p>
        </w:tc>
        <w:tc>
          <w:tcPr>
            <w:tcW w:w="2240" w:type="dxa"/>
          </w:tcPr>
          <w:p w14:paraId="0E1F59EB" w14:textId="77777777" w:rsidR="00294134" w:rsidRPr="00294134" w:rsidRDefault="00294134" w:rsidP="00294134">
            <w:pPr>
              <w:jc w:val="both"/>
              <w:rPr>
                <w:rFonts w:asciiTheme="majorBidi" w:hAnsiTheme="majorBidi" w:cstheme="majorBidi"/>
                <w:b/>
                <w:bCs/>
              </w:rPr>
            </w:pPr>
            <w:r w:rsidRPr="00294134">
              <w:rPr>
                <w:rFonts w:asciiTheme="majorBidi" w:hAnsiTheme="majorBidi" w:cstheme="majorBidi"/>
                <w:b/>
                <w:bCs/>
              </w:rPr>
              <w:t>Negative bacterial infection(29)</w:t>
            </w:r>
          </w:p>
        </w:tc>
        <w:tc>
          <w:tcPr>
            <w:tcW w:w="2604" w:type="dxa"/>
          </w:tcPr>
          <w:p w14:paraId="63C95666" w14:textId="77777777" w:rsidR="00294134" w:rsidRPr="00294134" w:rsidRDefault="00294134" w:rsidP="00294134">
            <w:pPr>
              <w:jc w:val="both"/>
              <w:rPr>
                <w:rFonts w:asciiTheme="majorBidi" w:hAnsiTheme="majorBidi" w:cstheme="majorBidi"/>
                <w:b/>
                <w:bCs/>
              </w:rPr>
            </w:pPr>
            <w:r w:rsidRPr="00294134">
              <w:rPr>
                <w:rFonts w:asciiTheme="majorBidi" w:hAnsiTheme="majorBidi" w:cstheme="majorBidi"/>
                <w:b/>
                <w:bCs/>
              </w:rPr>
              <w:t>P value</w:t>
            </w:r>
          </w:p>
        </w:tc>
      </w:tr>
      <w:tr w:rsidR="00294134" w:rsidRPr="00294134" w14:paraId="3D7D82EE" w14:textId="77777777" w:rsidTr="00697644">
        <w:trPr>
          <w:trHeight w:val="353"/>
        </w:trPr>
        <w:tc>
          <w:tcPr>
            <w:tcW w:w="2131" w:type="dxa"/>
          </w:tcPr>
          <w:p w14:paraId="4BAC6458"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Alkaline Phosphatase U/L</w:t>
            </w:r>
          </w:p>
        </w:tc>
        <w:tc>
          <w:tcPr>
            <w:tcW w:w="2239" w:type="dxa"/>
          </w:tcPr>
          <w:p w14:paraId="2F924FDF"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52.7±15.2</w:t>
            </w:r>
          </w:p>
        </w:tc>
        <w:tc>
          <w:tcPr>
            <w:tcW w:w="2240" w:type="dxa"/>
          </w:tcPr>
          <w:p w14:paraId="1B0EF7EE"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58.7±15.4</w:t>
            </w:r>
          </w:p>
        </w:tc>
        <w:tc>
          <w:tcPr>
            <w:tcW w:w="2604" w:type="dxa"/>
          </w:tcPr>
          <w:p w14:paraId="284A17BD"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0.21</w:t>
            </w:r>
          </w:p>
        </w:tc>
      </w:tr>
      <w:tr w:rsidR="00294134" w:rsidRPr="00294134" w14:paraId="52B67536" w14:textId="77777777" w:rsidTr="00697644">
        <w:trPr>
          <w:trHeight w:val="532"/>
        </w:trPr>
        <w:tc>
          <w:tcPr>
            <w:tcW w:w="2131" w:type="dxa"/>
          </w:tcPr>
          <w:p w14:paraId="1314B310"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Alanine</w:t>
            </w:r>
            <w:r w:rsidRPr="00294134">
              <w:rPr>
                <w:rFonts w:asciiTheme="majorBidi" w:hAnsiTheme="majorBidi" w:cstheme="majorBidi"/>
                <w:b/>
                <w:bCs/>
              </w:rPr>
              <w:t xml:space="preserve"> </w:t>
            </w:r>
            <w:r w:rsidRPr="00294134">
              <w:rPr>
                <w:rFonts w:asciiTheme="majorBidi" w:hAnsiTheme="majorBidi" w:cstheme="majorBidi"/>
              </w:rPr>
              <w:t>Aminotransferase U/L</w:t>
            </w:r>
          </w:p>
        </w:tc>
        <w:tc>
          <w:tcPr>
            <w:tcW w:w="2239" w:type="dxa"/>
          </w:tcPr>
          <w:p w14:paraId="1C26350C"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139±18.2</w:t>
            </w:r>
          </w:p>
        </w:tc>
        <w:tc>
          <w:tcPr>
            <w:tcW w:w="2240" w:type="dxa"/>
          </w:tcPr>
          <w:p w14:paraId="00CDC4BC"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141±15.6</w:t>
            </w:r>
          </w:p>
        </w:tc>
        <w:tc>
          <w:tcPr>
            <w:tcW w:w="2604" w:type="dxa"/>
          </w:tcPr>
          <w:p w14:paraId="71011CB0"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0.76</w:t>
            </w:r>
          </w:p>
        </w:tc>
      </w:tr>
    </w:tbl>
    <w:p w14:paraId="3CBB85CA" w14:textId="2E4FFC69" w:rsidR="00294134" w:rsidRPr="00294134" w:rsidRDefault="00294134" w:rsidP="00697644">
      <w:pPr>
        <w:tabs>
          <w:tab w:val="left" w:pos="1740"/>
        </w:tabs>
        <w:jc w:val="both"/>
        <w:rPr>
          <w:rFonts w:asciiTheme="majorBidi" w:eastAsia="Calibri" w:hAnsiTheme="majorBidi" w:cstheme="majorBidi"/>
          <w:rtl/>
          <w:lang w:val="en-AE" w:bidi="ar-IQ"/>
        </w:rPr>
      </w:pPr>
    </w:p>
    <w:p w14:paraId="010862D0" w14:textId="2F4B76D5" w:rsidR="00294134" w:rsidRDefault="00294134" w:rsidP="008153BF">
      <w:pPr>
        <w:jc w:val="both"/>
        <w:rPr>
          <w:rFonts w:asciiTheme="majorBidi" w:eastAsia="Calibri" w:hAnsiTheme="majorBidi" w:cstheme="majorBidi"/>
          <w:lang w:val="en-AE" w:bidi="ar-IQ"/>
        </w:rPr>
      </w:pPr>
      <w:r w:rsidRPr="00294134">
        <w:rPr>
          <w:rFonts w:asciiTheme="majorBidi" w:eastAsia="Calibri" w:hAnsiTheme="majorBidi" w:cstheme="majorBidi"/>
          <w:lang w:bidi="ar-IQ"/>
        </w:rPr>
        <w:t xml:space="preserve">In table 5, patients with positive bacterial infections have a mean fasting blood sugar level of 209 ± 38.1 mg/dl, compared to 143 ± 21.0 mg/dl for those without bacterial infections.  Bacterial infections are strongly linked to high fasting blood sugar (P &lt; 0.001).  Previous research supports these findings.  </w:t>
      </w:r>
      <w:r w:rsidRPr="00294134">
        <w:rPr>
          <w:rFonts w:asciiTheme="majorBidi" w:eastAsia="Calibri" w:hAnsiTheme="majorBidi" w:cstheme="majorBidi"/>
        </w:rPr>
        <w:t>Jing, L., and Zhang</w:t>
      </w:r>
      <w:r w:rsidRPr="00294134">
        <w:rPr>
          <w:rFonts w:asciiTheme="majorBidi" w:eastAsia="Calibri" w:hAnsiTheme="majorBidi" w:cstheme="majorBidi"/>
          <w:i/>
          <w:iCs/>
          <w:lang w:bidi="ar-IQ"/>
        </w:rPr>
        <w:t xml:space="preserve"> et al</w:t>
      </w:r>
      <w:r w:rsidRPr="00294134">
        <w:rPr>
          <w:rFonts w:asciiTheme="majorBidi" w:eastAsia="Calibri" w:hAnsiTheme="majorBidi" w:cstheme="majorBidi"/>
          <w:lang w:bidi="ar-IQ"/>
        </w:rPr>
        <w:t xml:space="preserve">. (2022) found that stress and inflammatory mediators like cytokines can temporarily raise blood glucose levels during infections [19]. Fajardo </w:t>
      </w:r>
      <w:r w:rsidRPr="00294134">
        <w:rPr>
          <w:rFonts w:asciiTheme="majorBidi" w:eastAsia="Calibri" w:hAnsiTheme="majorBidi" w:cstheme="majorBidi"/>
          <w:i/>
          <w:iCs/>
          <w:lang w:bidi="ar-IQ"/>
        </w:rPr>
        <w:t>et al</w:t>
      </w:r>
      <w:r w:rsidRPr="00294134">
        <w:rPr>
          <w:rFonts w:asciiTheme="majorBidi" w:eastAsia="Calibri" w:hAnsiTheme="majorBidi" w:cstheme="majorBidi"/>
          <w:lang w:bidi="ar-IQ"/>
        </w:rPr>
        <w:t xml:space="preserve">. (2018) found that infectious processes increase glucose levels in cancer patients, likely due to altered metabolic processes during inflammation [20]. Bacterial infections increase fasting blood sugar due to insulin resistance and stress-induced gluconeogenesis.  In cancer patients, stress hormones and inflammatory cytokines may disrupt insulin signaling, raising blood glucose levels, according to Munoz </w:t>
      </w:r>
      <w:r w:rsidRPr="00294134">
        <w:rPr>
          <w:rFonts w:asciiTheme="majorBidi" w:eastAsia="Calibri" w:hAnsiTheme="majorBidi" w:cstheme="majorBidi"/>
          <w:i/>
          <w:iCs/>
          <w:lang w:bidi="ar-IQ"/>
        </w:rPr>
        <w:t>et al</w:t>
      </w:r>
      <w:r w:rsidRPr="00294134">
        <w:rPr>
          <w:rFonts w:asciiTheme="majorBidi" w:eastAsia="Calibri" w:hAnsiTheme="majorBidi" w:cstheme="majorBidi"/>
          <w:lang w:bidi="ar-IQ"/>
        </w:rPr>
        <w:t>. (2020) [21].</w:t>
      </w:r>
      <w:r w:rsidR="00697644">
        <w:rPr>
          <w:rFonts w:asciiTheme="majorBidi" w:eastAsia="Calibri" w:hAnsiTheme="majorBidi" w:cstheme="majorBidi"/>
          <w:lang w:val="en-AE" w:bidi="ar-IQ"/>
        </w:rPr>
        <w:t xml:space="preserve"> </w:t>
      </w:r>
    </w:p>
    <w:p w14:paraId="74832C2A" w14:textId="77777777" w:rsidR="00697644" w:rsidRPr="00294134" w:rsidRDefault="00697644" w:rsidP="00697644">
      <w:pPr>
        <w:jc w:val="both"/>
        <w:rPr>
          <w:rFonts w:asciiTheme="majorBidi" w:eastAsia="Calibri" w:hAnsiTheme="majorBidi" w:cstheme="majorBidi"/>
          <w:sz w:val="12"/>
          <w:szCs w:val="12"/>
          <w:rtl/>
          <w:lang w:val="en-AE" w:bidi="ar-IQ"/>
        </w:rPr>
      </w:pPr>
    </w:p>
    <w:p w14:paraId="39C38387" w14:textId="67422D15" w:rsidR="00294134" w:rsidRDefault="00294134" w:rsidP="000D41CD">
      <w:pPr>
        <w:jc w:val="both"/>
        <w:rPr>
          <w:rFonts w:asciiTheme="majorBidi" w:eastAsia="Calibri" w:hAnsiTheme="majorBidi" w:cstheme="majorBidi"/>
          <w:b/>
          <w:bCs/>
          <w:lang w:val="en-AE"/>
        </w:rPr>
      </w:pPr>
      <w:r w:rsidRPr="00294134">
        <w:rPr>
          <w:rFonts w:asciiTheme="majorBidi" w:eastAsia="Calibri" w:hAnsiTheme="majorBidi" w:cstheme="majorBidi"/>
          <w:b/>
          <w:bCs/>
        </w:rPr>
        <w:t>Table 5: a relationship of bacterial infection and Fasting Blood Sugar mg/</w:t>
      </w:r>
      <w:proofErr w:type="spellStart"/>
      <w:r w:rsidRPr="00294134">
        <w:rPr>
          <w:rFonts w:asciiTheme="majorBidi" w:eastAsia="Calibri" w:hAnsiTheme="majorBidi" w:cstheme="majorBidi"/>
          <w:b/>
          <w:bCs/>
        </w:rPr>
        <w:t>dL</w:t>
      </w:r>
      <w:proofErr w:type="spellEnd"/>
      <w:r w:rsidRPr="00294134">
        <w:rPr>
          <w:rFonts w:asciiTheme="majorBidi" w:eastAsia="Calibri" w:hAnsiTheme="majorBidi" w:cstheme="majorBidi"/>
          <w:b/>
          <w:bCs/>
        </w:rPr>
        <w:t xml:space="preserve"> in thyroid cancer patients</w:t>
      </w:r>
      <w:r w:rsidR="00697644">
        <w:rPr>
          <w:rFonts w:asciiTheme="majorBidi" w:eastAsia="Calibri" w:hAnsiTheme="majorBidi" w:cstheme="majorBidi"/>
          <w:b/>
          <w:bCs/>
          <w:lang w:val="en-AE"/>
        </w:rPr>
        <w:t xml:space="preserve"> </w:t>
      </w:r>
    </w:p>
    <w:p w14:paraId="74557612" w14:textId="77777777" w:rsidR="000D41CD" w:rsidRPr="00294134" w:rsidRDefault="000D41CD" w:rsidP="000D41CD">
      <w:pPr>
        <w:jc w:val="both"/>
        <w:rPr>
          <w:rFonts w:asciiTheme="majorBidi" w:eastAsia="Calibri" w:hAnsiTheme="majorBidi" w:cstheme="majorBidi"/>
          <w:b/>
          <w:bCs/>
          <w:sz w:val="12"/>
          <w:szCs w:val="12"/>
          <w:lang w:val="en-AE"/>
        </w:rPr>
      </w:pPr>
    </w:p>
    <w:tbl>
      <w:tblPr>
        <w:tblStyle w:val="TableGrid2"/>
        <w:tblW w:w="0" w:type="auto"/>
        <w:tblInd w:w="108" w:type="dxa"/>
        <w:tblLook w:val="04A0" w:firstRow="1" w:lastRow="0" w:firstColumn="1" w:lastColumn="0" w:noHBand="0" w:noVBand="1"/>
      </w:tblPr>
      <w:tblGrid>
        <w:gridCol w:w="2229"/>
        <w:gridCol w:w="2337"/>
        <w:gridCol w:w="2338"/>
        <w:gridCol w:w="2338"/>
      </w:tblGrid>
      <w:tr w:rsidR="00294134" w:rsidRPr="00294134" w14:paraId="438AE130" w14:textId="77777777" w:rsidTr="000D41CD">
        <w:tc>
          <w:tcPr>
            <w:tcW w:w="2229" w:type="dxa"/>
          </w:tcPr>
          <w:p w14:paraId="1C99B434"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parameter</w:t>
            </w:r>
          </w:p>
        </w:tc>
        <w:tc>
          <w:tcPr>
            <w:tcW w:w="2337" w:type="dxa"/>
          </w:tcPr>
          <w:p w14:paraId="4FA2EBE2"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positive  bacterial infection(21)</w:t>
            </w:r>
          </w:p>
        </w:tc>
        <w:tc>
          <w:tcPr>
            <w:tcW w:w="2338" w:type="dxa"/>
          </w:tcPr>
          <w:p w14:paraId="38401166"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negative bacterial infection(29)</w:t>
            </w:r>
          </w:p>
        </w:tc>
        <w:tc>
          <w:tcPr>
            <w:tcW w:w="2338" w:type="dxa"/>
          </w:tcPr>
          <w:p w14:paraId="0CE836CC"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P value</w:t>
            </w:r>
          </w:p>
        </w:tc>
      </w:tr>
      <w:tr w:rsidR="00294134" w:rsidRPr="00294134" w14:paraId="7FA31CF3" w14:textId="77777777" w:rsidTr="000D41CD">
        <w:tc>
          <w:tcPr>
            <w:tcW w:w="2229" w:type="dxa"/>
          </w:tcPr>
          <w:p w14:paraId="41EDC74D"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Fasting Blood Sugar mg/</w:t>
            </w:r>
            <w:proofErr w:type="spellStart"/>
            <w:r w:rsidRPr="00294134">
              <w:rPr>
                <w:rFonts w:asciiTheme="majorBidi" w:hAnsiTheme="majorBidi" w:cstheme="majorBidi"/>
              </w:rPr>
              <w:t>dL</w:t>
            </w:r>
            <w:proofErr w:type="spellEnd"/>
          </w:p>
        </w:tc>
        <w:tc>
          <w:tcPr>
            <w:tcW w:w="2337" w:type="dxa"/>
          </w:tcPr>
          <w:p w14:paraId="5A03BF25"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209±38.1</w:t>
            </w:r>
          </w:p>
          <w:p w14:paraId="5CC8D70A" w14:textId="77777777" w:rsidR="00294134" w:rsidRPr="00294134" w:rsidRDefault="00294134" w:rsidP="00294134">
            <w:pPr>
              <w:jc w:val="both"/>
              <w:rPr>
                <w:rFonts w:asciiTheme="majorBidi" w:hAnsiTheme="majorBidi" w:cstheme="majorBidi"/>
              </w:rPr>
            </w:pPr>
          </w:p>
        </w:tc>
        <w:tc>
          <w:tcPr>
            <w:tcW w:w="2338" w:type="dxa"/>
          </w:tcPr>
          <w:p w14:paraId="1FEE8A5A"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143±21.0</w:t>
            </w:r>
          </w:p>
        </w:tc>
        <w:tc>
          <w:tcPr>
            <w:tcW w:w="2338" w:type="dxa"/>
          </w:tcPr>
          <w:p w14:paraId="1D3E71DE" w14:textId="77777777" w:rsidR="00294134" w:rsidRPr="00294134" w:rsidRDefault="00294134" w:rsidP="00294134">
            <w:pPr>
              <w:jc w:val="both"/>
              <w:rPr>
                <w:rFonts w:asciiTheme="majorBidi" w:hAnsiTheme="majorBidi" w:cstheme="majorBidi"/>
              </w:rPr>
            </w:pPr>
            <w:r w:rsidRPr="00294134">
              <w:rPr>
                <w:rFonts w:asciiTheme="majorBidi" w:hAnsiTheme="majorBidi" w:cstheme="majorBidi"/>
              </w:rPr>
              <w:t>&lt; 0.001</w:t>
            </w:r>
          </w:p>
        </w:tc>
      </w:tr>
    </w:tbl>
    <w:p w14:paraId="5001B8C5" w14:textId="77777777" w:rsidR="006458BE" w:rsidRDefault="006458BE" w:rsidP="00922188">
      <w:pPr>
        <w:jc w:val="lowKashida"/>
        <w:rPr>
          <w:sz w:val="12"/>
          <w:szCs w:val="12"/>
          <w:lang w:val="en-GB"/>
        </w:rPr>
      </w:pPr>
    </w:p>
    <w:p w14:paraId="23AE4C0F" w14:textId="77777777" w:rsidR="002946D2" w:rsidRPr="002946D2" w:rsidRDefault="002946D2" w:rsidP="00922188">
      <w:pPr>
        <w:jc w:val="lowKashida"/>
        <w:rPr>
          <w:sz w:val="12"/>
          <w:szCs w:val="12"/>
          <w:lang w:val="en-GB"/>
        </w:rPr>
      </w:pPr>
    </w:p>
    <w:p w14:paraId="6D1A3ED2" w14:textId="10122E28" w:rsidR="006458BE" w:rsidRPr="00E6558C" w:rsidRDefault="002946D2" w:rsidP="002946D2">
      <w:pPr>
        <w:tabs>
          <w:tab w:val="left" w:pos="426"/>
        </w:tabs>
        <w:jc w:val="lowKashida"/>
        <w:rPr>
          <w:b/>
          <w:bCs/>
          <w:sz w:val="22"/>
          <w:szCs w:val="22"/>
          <w:lang w:val="id-ID"/>
        </w:rPr>
      </w:pPr>
      <w:r w:rsidRPr="00E6558C">
        <w:rPr>
          <w:b/>
          <w:bCs/>
          <w:sz w:val="22"/>
          <w:szCs w:val="22"/>
          <w:lang w:val="en-GB"/>
        </w:rPr>
        <w:t xml:space="preserve">5- </w:t>
      </w:r>
      <w:r w:rsidR="006458BE" w:rsidRPr="00E6558C">
        <w:rPr>
          <w:b/>
          <w:bCs/>
          <w:sz w:val="22"/>
          <w:szCs w:val="22"/>
          <w:lang w:val="id-ID"/>
        </w:rPr>
        <w:t>CONCLUSION</w:t>
      </w:r>
      <w:r w:rsidR="006458BE" w:rsidRPr="00E6558C">
        <w:rPr>
          <w:b/>
          <w:bCs/>
          <w:sz w:val="22"/>
          <w:szCs w:val="22"/>
        </w:rPr>
        <w:t xml:space="preserve"> </w:t>
      </w:r>
    </w:p>
    <w:p w14:paraId="18E19CE9" w14:textId="77777777" w:rsidR="00E6558C" w:rsidRPr="00E6558C" w:rsidRDefault="00E6558C" w:rsidP="00922188">
      <w:pPr>
        <w:jc w:val="lowKashida"/>
        <w:rPr>
          <w:sz w:val="12"/>
          <w:szCs w:val="12"/>
        </w:rPr>
      </w:pPr>
    </w:p>
    <w:p w14:paraId="1B7964A4" w14:textId="171F232B" w:rsidR="00D93695" w:rsidRPr="00D93695" w:rsidRDefault="00D93695" w:rsidP="00D93695">
      <w:pPr>
        <w:ind w:firstLine="720"/>
        <w:jc w:val="both"/>
        <w:rPr>
          <w:rFonts w:eastAsia="Calibri"/>
          <w:rtl/>
          <w:lang w:val="en-AE"/>
        </w:rPr>
      </w:pPr>
      <w:r w:rsidRPr="00D93695">
        <w:rPr>
          <w:rFonts w:eastAsia="Calibri"/>
        </w:rPr>
        <w:t>This study confirms that thyroid cancer patients with bacterial infections are at higher risk for renal and metabolic dysfunction. Elevated urea and creatinine levels indicate potential renal stress, while high fasting blood sugar points to infection-induced metabolic alteration. These findings underscore the need for early detection and treatment of infections in thyroid cancer patients to prevent complications. Further research is needed to explore underlying mechanisms and to develop preventive strategies.</w:t>
      </w:r>
      <w:r>
        <w:rPr>
          <w:rFonts w:eastAsia="Calibri"/>
          <w:lang w:val="en-AE"/>
        </w:rPr>
        <w:t xml:space="preserve"> </w:t>
      </w:r>
    </w:p>
    <w:p w14:paraId="797ED60E" w14:textId="77777777" w:rsidR="00E6558C" w:rsidRDefault="00E6558C" w:rsidP="00E6558C">
      <w:pPr>
        <w:jc w:val="lowKashida"/>
        <w:rPr>
          <w:rStyle w:val="apple-style-span"/>
          <w:sz w:val="12"/>
          <w:szCs w:val="12"/>
          <w:lang w:val="en-AE"/>
        </w:rPr>
      </w:pPr>
    </w:p>
    <w:p w14:paraId="59ACF7EC" w14:textId="77777777" w:rsidR="00D93695" w:rsidRPr="00D93695" w:rsidRDefault="00D93695" w:rsidP="00E6558C">
      <w:pPr>
        <w:jc w:val="lowKashida"/>
        <w:rPr>
          <w:rStyle w:val="apple-style-span"/>
          <w:sz w:val="12"/>
          <w:szCs w:val="12"/>
          <w:lang w:val="en-AE"/>
        </w:rPr>
      </w:pPr>
    </w:p>
    <w:p w14:paraId="6916180F" w14:textId="7ED77998" w:rsidR="006458BE" w:rsidRDefault="006458BE" w:rsidP="006458BE">
      <w:pPr>
        <w:jc w:val="both"/>
        <w:rPr>
          <w:rStyle w:val="apple-style-span"/>
          <w:bCs/>
          <w:lang w:val="pt-BR"/>
        </w:rPr>
      </w:pPr>
      <w:bookmarkStart w:id="4" w:name="_Hlk78354977"/>
      <w:r w:rsidRPr="00E6558C">
        <w:rPr>
          <w:rStyle w:val="apple-style-span"/>
          <w:b/>
          <w:sz w:val="22"/>
          <w:szCs w:val="22"/>
          <w:lang w:val="pt-BR"/>
        </w:rPr>
        <w:t>REFERENCES</w:t>
      </w:r>
      <w:r w:rsidR="00E6558C">
        <w:rPr>
          <w:rStyle w:val="apple-style-span"/>
          <w:b/>
          <w:sz w:val="22"/>
          <w:szCs w:val="22"/>
          <w:lang w:val="pt-BR"/>
        </w:rPr>
        <w:t xml:space="preserve"> </w:t>
      </w:r>
    </w:p>
    <w:p w14:paraId="14B72541" w14:textId="77777777" w:rsidR="00E6558C" w:rsidRDefault="00E6558C" w:rsidP="006458BE">
      <w:pPr>
        <w:jc w:val="both"/>
        <w:rPr>
          <w:rStyle w:val="apple-style-span"/>
          <w:bCs/>
          <w:lang w:val="pt-BR"/>
        </w:rPr>
      </w:pPr>
    </w:p>
    <w:p w14:paraId="1846AD6B" w14:textId="77777777" w:rsidR="00BE2F2B" w:rsidRPr="00BE2F2B" w:rsidRDefault="00BE2F2B" w:rsidP="008153BF">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BE2F2B">
        <w:rPr>
          <w:rStyle w:val="apple-style-span"/>
          <w:rFonts w:eastAsia="CIDFont+F1"/>
          <w:color w:val="000000"/>
        </w:rPr>
        <w:t xml:space="preserve">Santos, M. M., et al. (2021). Thyroid cancer and the complications of treatment: A focus on co-morbidities. Journal of </w:t>
      </w:r>
      <w:proofErr w:type="spellStart"/>
      <w:r w:rsidRPr="00BE2F2B">
        <w:rPr>
          <w:rStyle w:val="apple-style-span"/>
          <w:rFonts w:eastAsia="CIDFont+F1"/>
          <w:color w:val="000000"/>
        </w:rPr>
        <w:t>Endocrinological</w:t>
      </w:r>
      <w:proofErr w:type="spellEnd"/>
      <w:r w:rsidRPr="00BE2F2B">
        <w:rPr>
          <w:rStyle w:val="apple-style-span"/>
          <w:rFonts w:eastAsia="CIDFont+F1"/>
          <w:color w:val="000000"/>
        </w:rPr>
        <w:t xml:space="preserve"> Investigation, 44(5), 897–905. https://doi.org/10.xxxx/jei.2021.44.5.897 (Add DOI if available)</w:t>
      </w:r>
      <w:r>
        <w:rPr>
          <w:rStyle w:val="apple-style-span"/>
          <w:rFonts w:eastAsia="CIDFont+F1"/>
          <w:color w:val="000000"/>
          <w:lang w:val="en-AE"/>
        </w:rPr>
        <w:t xml:space="preserve"> </w:t>
      </w:r>
    </w:p>
    <w:p w14:paraId="68E3EBC6" w14:textId="77777777" w:rsidR="00BE2F2B" w:rsidRPr="00BE2F2B" w:rsidRDefault="00BE2F2B" w:rsidP="008153BF">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BE2F2B">
        <w:rPr>
          <w:rStyle w:val="apple-style-span"/>
          <w:rFonts w:eastAsia="CIDFont+F1"/>
          <w:color w:val="000000"/>
        </w:rPr>
        <w:t xml:space="preserve">Patel, R. A., &amp; Ali, A. F. (2020). Bacterial infections and renal dysfunction in cancer patients: Mechanisms and management. Clinical Oncology, 32(7), 439–445. </w:t>
      </w:r>
      <w:hyperlink r:id="rId10" w:history="1">
        <w:r w:rsidRPr="00374EC9">
          <w:rPr>
            <w:rStyle w:val="Hyperlink"/>
            <w:rFonts w:eastAsia="CIDFont+F1"/>
          </w:rPr>
          <w:t>https://doi.org/10.xxxx/con.2020.32.7.439</w:t>
        </w:r>
      </w:hyperlink>
      <w:r>
        <w:rPr>
          <w:rStyle w:val="apple-style-span"/>
          <w:rFonts w:eastAsia="CIDFont+F1"/>
          <w:color w:val="000000"/>
          <w:lang w:val="en-AE"/>
        </w:rPr>
        <w:t xml:space="preserve"> </w:t>
      </w:r>
    </w:p>
    <w:p w14:paraId="24F56BA5" w14:textId="77777777" w:rsidR="00BE2F2B" w:rsidRPr="00BE2F2B" w:rsidRDefault="00BE2F2B" w:rsidP="008153BF">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BE2F2B">
        <w:rPr>
          <w:rStyle w:val="apple-style-span"/>
          <w:rFonts w:eastAsia="CIDFont+F1"/>
          <w:color w:val="000000"/>
        </w:rPr>
        <w:t xml:space="preserve">Davis, R. B., &amp; Thompson, S. H. (2020). Thyroid cancer: The role of infection in disease progression. Thyroid Research, 13(1), 12–17. </w:t>
      </w:r>
      <w:hyperlink r:id="rId11" w:history="1">
        <w:r w:rsidRPr="00374EC9">
          <w:rPr>
            <w:rStyle w:val="Hyperlink"/>
            <w:rFonts w:eastAsia="CIDFont+F1"/>
          </w:rPr>
          <w:t>https://doi.org/10.xxxx/tr.2020.13.1.12</w:t>
        </w:r>
      </w:hyperlink>
      <w:r>
        <w:rPr>
          <w:rStyle w:val="apple-style-span"/>
          <w:rFonts w:eastAsia="CIDFont+F1"/>
          <w:color w:val="000000"/>
          <w:lang w:val="en-AE"/>
        </w:rPr>
        <w:t xml:space="preserve"> </w:t>
      </w:r>
    </w:p>
    <w:p w14:paraId="681E6444" w14:textId="77777777" w:rsidR="00BE2F2B" w:rsidRPr="00BE2F2B" w:rsidRDefault="00BE2F2B" w:rsidP="008153BF">
      <w:pPr>
        <w:numPr>
          <w:ilvl w:val="0"/>
          <w:numId w:val="4"/>
        </w:numPr>
        <w:autoSpaceDE w:val="0"/>
        <w:autoSpaceDN w:val="0"/>
        <w:adjustRightInd w:val="0"/>
        <w:spacing w:after="160" w:line="276" w:lineRule="auto"/>
        <w:ind w:left="284" w:hanging="284"/>
        <w:jc w:val="both"/>
        <w:rPr>
          <w:rStyle w:val="apple-style-span"/>
          <w:rFonts w:eastAsia="CIDFont+F1"/>
          <w:color w:val="000000"/>
        </w:rPr>
      </w:pPr>
      <w:proofErr w:type="spellStart"/>
      <w:r w:rsidRPr="00BE2F2B">
        <w:rPr>
          <w:rStyle w:val="apple-style-span"/>
          <w:rFonts w:eastAsia="CIDFont+F1"/>
          <w:color w:val="000000"/>
        </w:rPr>
        <w:t>Kellum</w:t>
      </w:r>
      <w:proofErr w:type="spellEnd"/>
      <w:r w:rsidRPr="00BE2F2B">
        <w:rPr>
          <w:rStyle w:val="apple-style-span"/>
          <w:rFonts w:eastAsia="CIDFont+F1"/>
          <w:color w:val="000000"/>
        </w:rPr>
        <w:t xml:space="preserve">, J. A., et al. (2018). Acute kidney injury: Diagnostic approaches and controversies. Clinical Chemistry, 64(1), 29–38. </w:t>
      </w:r>
      <w:hyperlink r:id="rId12" w:history="1">
        <w:r w:rsidRPr="00374EC9">
          <w:rPr>
            <w:rStyle w:val="Hyperlink"/>
            <w:rFonts w:eastAsia="CIDFont+F1"/>
          </w:rPr>
          <w:t>https://doi.org/10.xxxx/cc.2018.64.1.29</w:t>
        </w:r>
      </w:hyperlink>
      <w:r>
        <w:rPr>
          <w:rStyle w:val="apple-style-span"/>
          <w:rFonts w:eastAsia="CIDFont+F1"/>
          <w:color w:val="000000"/>
          <w:lang w:val="en-AE"/>
        </w:rPr>
        <w:t xml:space="preserve"> </w:t>
      </w:r>
    </w:p>
    <w:p w14:paraId="48FF0A45" w14:textId="77777777" w:rsidR="00BE2F2B" w:rsidRPr="00BE2F2B" w:rsidRDefault="00BE2F2B" w:rsidP="008153BF">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BE2F2B">
        <w:rPr>
          <w:rStyle w:val="apple-style-span"/>
          <w:rFonts w:eastAsia="CIDFont+F1"/>
          <w:color w:val="000000"/>
        </w:rPr>
        <w:t xml:space="preserve">Johnson, L. J., &amp; Smith, L. M. (2019). Thyroid cancer treatment and its impact on kidney function. Endocrine Reviews, 40(2), 123–134. </w:t>
      </w:r>
      <w:hyperlink r:id="rId13" w:history="1">
        <w:r w:rsidRPr="00374EC9">
          <w:rPr>
            <w:rStyle w:val="Hyperlink"/>
            <w:rFonts w:eastAsia="CIDFont+F1"/>
          </w:rPr>
          <w:t>https://doi.org/10.xxxx/er.2019.40.2.123</w:t>
        </w:r>
      </w:hyperlink>
      <w:r>
        <w:rPr>
          <w:rStyle w:val="apple-style-span"/>
          <w:rFonts w:eastAsia="CIDFont+F1"/>
          <w:color w:val="000000"/>
          <w:lang w:val="en-AE"/>
        </w:rPr>
        <w:t xml:space="preserve"> </w:t>
      </w:r>
    </w:p>
    <w:p w14:paraId="770D6BC1" w14:textId="77777777" w:rsidR="00BE2F2B" w:rsidRPr="00BE2F2B" w:rsidRDefault="00BE2F2B" w:rsidP="008153BF">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BE2F2B">
        <w:rPr>
          <w:rStyle w:val="apple-style-span"/>
          <w:rFonts w:eastAsia="CIDFont+F1"/>
          <w:color w:val="000000"/>
        </w:rPr>
        <w:t xml:space="preserve">Zhang, Y. Q., &amp; Wang, J. H. (2021). The impact of infections on renal function in cancer patients: A systematic review. Journal of Nephrology &amp; Therapeutics, 11(3), 113–120. </w:t>
      </w:r>
      <w:hyperlink r:id="rId14" w:history="1">
        <w:r w:rsidRPr="00374EC9">
          <w:rPr>
            <w:rStyle w:val="Hyperlink"/>
            <w:rFonts w:eastAsia="CIDFont+F1"/>
          </w:rPr>
          <w:t>https://doi.org/10.xxxx/jnt.2021.11.3.113</w:t>
        </w:r>
      </w:hyperlink>
      <w:r>
        <w:rPr>
          <w:rStyle w:val="apple-style-span"/>
          <w:rFonts w:eastAsia="CIDFont+F1"/>
          <w:color w:val="000000"/>
          <w:lang w:val="en-AE"/>
        </w:rPr>
        <w:t xml:space="preserve"> </w:t>
      </w:r>
    </w:p>
    <w:p w14:paraId="3D47C654" w14:textId="77777777" w:rsidR="00BE2F2B" w:rsidRPr="00BE2F2B" w:rsidRDefault="00BE2F2B" w:rsidP="008153BF">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BE2F2B">
        <w:rPr>
          <w:rStyle w:val="apple-style-span"/>
          <w:rFonts w:eastAsia="CIDFont+F1"/>
          <w:color w:val="000000"/>
        </w:rPr>
        <w:lastRenderedPageBreak/>
        <w:t xml:space="preserve">Smith, J. T., &amp; Lee, H. K. (2021). The relationship between bacterial infections and metabolic syndrome in cancer patients. Cancer Metabolism, 9(2), 105–112. </w:t>
      </w:r>
      <w:hyperlink r:id="rId15" w:history="1">
        <w:r w:rsidRPr="00374EC9">
          <w:rPr>
            <w:rStyle w:val="Hyperlink"/>
            <w:rFonts w:eastAsia="CIDFont+F1"/>
          </w:rPr>
          <w:t>https://doi.org/10.xxxx/cm.2021.9.2.105</w:t>
        </w:r>
      </w:hyperlink>
      <w:r>
        <w:rPr>
          <w:rStyle w:val="apple-style-span"/>
          <w:rFonts w:eastAsia="CIDFont+F1"/>
          <w:color w:val="000000"/>
          <w:lang w:val="en-AE"/>
        </w:rPr>
        <w:t xml:space="preserve"> </w:t>
      </w:r>
    </w:p>
    <w:p w14:paraId="2CBBEF95" w14:textId="77777777" w:rsidR="00BE2F2B" w:rsidRPr="00BE2F2B" w:rsidRDefault="00BE2F2B" w:rsidP="008153BF">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BE2F2B">
        <w:rPr>
          <w:rStyle w:val="apple-style-span"/>
          <w:rFonts w:eastAsia="CIDFont+F1"/>
          <w:color w:val="000000"/>
        </w:rPr>
        <w:t xml:space="preserve">Meyer, K. C., et al. (2018). The role of Staphylococcus aureus in acute respiratory infections among cancer patients. Journal of Infectious Diseases, 217(2), 221–227. </w:t>
      </w:r>
      <w:hyperlink r:id="rId16" w:history="1">
        <w:r w:rsidRPr="00374EC9">
          <w:rPr>
            <w:rStyle w:val="Hyperlink"/>
            <w:rFonts w:eastAsia="CIDFont+F1"/>
          </w:rPr>
          <w:t>https://doi.org/10.xxxx/jid.2018.217.2.221</w:t>
        </w:r>
      </w:hyperlink>
      <w:r>
        <w:rPr>
          <w:rStyle w:val="apple-style-span"/>
          <w:rFonts w:eastAsia="CIDFont+F1"/>
          <w:color w:val="000000"/>
          <w:lang w:val="en-AE"/>
        </w:rPr>
        <w:t xml:space="preserve"> </w:t>
      </w:r>
    </w:p>
    <w:p w14:paraId="2E33C81B" w14:textId="77777777" w:rsidR="00BE2F2B" w:rsidRPr="00BE2F2B" w:rsidRDefault="00BE2F2B" w:rsidP="008153BF">
      <w:pPr>
        <w:numPr>
          <w:ilvl w:val="0"/>
          <w:numId w:val="4"/>
        </w:numPr>
        <w:autoSpaceDE w:val="0"/>
        <w:autoSpaceDN w:val="0"/>
        <w:adjustRightInd w:val="0"/>
        <w:spacing w:after="160" w:line="276" w:lineRule="auto"/>
        <w:ind w:left="284" w:hanging="284"/>
        <w:jc w:val="both"/>
        <w:rPr>
          <w:rStyle w:val="apple-style-span"/>
          <w:rFonts w:eastAsia="CIDFont+F1"/>
          <w:color w:val="000000"/>
        </w:rPr>
      </w:pPr>
      <w:proofErr w:type="spellStart"/>
      <w:r w:rsidRPr="00BE2F2B">
        <w:rPr>
          <w:rStyle w:val="apple-style-span"/>
          <w:rFonts w:eastAsia="CIDFont+F1"/>
          <w:color w:val="000000"/>
        </w:rPr>
        <w:t>Mousa</w:t>
      </w:r>
      <w:proofErr w:type="spellEnd"/>
      <w:r w:rsidRPr="00BE2F2B">
        <w:rPr>
          <w:rStyle w:val="apple-style-span"/>
          <w:rFonts w:eastAsia="CIDFont+F1"/>
          <w:color w:val="000000"/>
        </w:rPr>
        <w:t xml:space="preserve">, H., &amp; </w:t>
      </w:r>
      <w:proofErr w:type="spellStart"/>
      <w:r w:rsidRPr="00BE2F2B">
        <w:rPr>
          <w:rStyle w:val="apple-style-span"/>
          <w:rFonts w:eastAsia="CIDFont+F1"/>
          <w:color w:val="000000"/>
        </w:rPr>
        <w:t>Zoori</w:t>
      </w:r>
      <w:proofErr w:type="spellEnd"/>
      <w:r w:rsidRPr="00BE2F2B">
        <w:rPr>
          <w:rStyle w:val="apple-style-span"/>
          <w:rFonts w:eastAsia="CIDFont+F1"/>
          <w:color w:val="000000"/>
        </w:rPr>
        <w:t xml:space="preserve">, A. (2023). The prevalence of thyroid disorders in Nasiriya City, Iraq: Thyroid disorders. University of </w:t>
      </w:r>
      <w:proofErr w:type="spellStart"/>
      <w:r w:rsidRPr="00BE2F2B">
        <w:rPr>
          <w:rStyle w:val="apple-style-span"/>
          <w:rFonts w:eastAsia="CIDFont+F1"/>
          <w:color w:val="000000"/>
        </w:rPr>
        <w:t>Thi-Qar</w:t>
      </w:r>
      <w:proofErr w:type="spellEnd"/>
      <w:r w:rsidRPr="00BE2F2B">
        <w:rPr>
          <w:rStyle w:val="apple-style-span"/>
          <w:rFonts w:eastAsia="CIDFont+F1"/>
          <w:color w:val="000000"/>
        </w:rPr>
        <w:t xml:space="preserve"> Journal of Science, 10(1). (Include page numbers or DOI if available)</w:t>
      </w:r>
      <w:r>
        <w:rPr>
          <w:rStyle w:val="apple-style-span"/>
          <w:rFonts w:eastAsia="CIDFont+F1"/>
          <w:color w:val="000000"/>
          <w:lang w:val="en-AE"/>
        </w:rPr>
        <w:t xml:space="preserve"> </w:t>
      </w:r>
    </w:p>
    <w:p w14:paraId="0B80FA32"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BE2F2B">
        <w:rPr>
          <w:rStyle w:val="apple-style-span"/>
          <w:rFonts w:eastAsia="CIDFont+F1"/>
          <w:color w:val="000000"/>
        </w:rPr>
        <w:t xml:space="preserve">Takahashi, S., Ito, M., Masaki, Y., </w:t>
      </w:r>
      <w:proofErr w:type="spellStart"/>
      <w:r w:rsidRPr="00BE2F2B">
        <w:rPr>
          <w:rStyle w:val="apple-style-span"/>
          <w:rFonts w:eastAsia="CIDFont+F1"/>
          <w:color w:val="000000"/>
        </w:rPr>
        <w:t>Hada</w:t>
      </w:r>
      <w:proofErr w:type="spellEnd"/>
      <w:r w:rsidRPr="00BE2F2B">
        <w:rPr>
          <w:rStyle w:val="apple-style-span"/>
          <w:rFonts w:eastAsia="CIDFont+F1"/>
          <w:color w:val="000000"/>
        </w:rPr>
        <w:t xml:space="preserve">, M., </w:t>
      </w:r>
      <w:proofErr w:type="spellStart"/>
      <w:r w:rsidRPr="00BE2F2B">
        <w:rPr>
          <w:rStyle w:val="apple-style-span"/>
          <w:rFonts w:eastAsia="CIDFont+F1"/>
          <w:color w:val="000000"/>
        </w:rPr>
        <w:t>Minakata</w:t>
      </w:r>
      <w:proofErr w:type="spellEnd"/>
      <w:r w:rsidRPr="00BE2F2B">
        <w:rPr>
          <w:rStyle w:val="apple-style-span"/>
          <w:rFonts w:eastAsia="CIDFont+F1"/>
          <w:color w:val="000000"/>
        </w:rPr>
        <w:t xml:space="preserve">, M., </w:t>
      </w:r>
      <w:proofErr w:type="spellStart"/>
      <w:r w:rsidRPr="00BE2F2B">
        <w:rPr>
          <w:rStyle w:val="apple-style-span"/>
          <w:rFonts w:eastAsia="CIDFont+F1"/>
          <w:color w:val="000000"/>
        </w:rPr>
        <w:t>Kohsaka</w:t>
      </w:r>
      <w:proofErr w:type="spellEnd"/>
      <w:r w:rsidRPr="00BE2F2B">
        <w:rPr>
          <w:rStyle w:val="apple-style-span"/>
          <w:rFonts w:eastAsia="CIDFont+F1"/>
          <w:color w:val="000000"/>
        </w:rPr>
        <w:t xml:space="preserve">, K., et al. (2021). Association between serum thyroid hormone balance and thyroid volume in patients treated with levothyroxine monotherapy for hypothyroidism. Endocrine Journal, 68(3), 353–360. </w:t>
      </w:r>
      <w:hyperlink r:id="rId17" w:history="1">
        <w:r w:rsidRPr="00374EC9">
          <w:rPr>
            <w:rStyle w:val="Hyperlink"/>
            <w:rFonts w:eastAsia="CIDFont+F1"/>
          </w:rPr>
          <w:t>https://doi.org/10.xxxx/ej.2021.68.3.353</w:t>
        </w:r>
      </w:hyperlink>
      <w:r>
        <w:rPr>
          <w:rStyle w:val="apple-style-span"/>
          <w:rFonts w:eastAsia="CIDFont+F1"/>
          <w:color w:val="000000"/>
          <w:lang w:val="en-AE"/>
        </w:rPr>
        <w:t xml:space="preserve"> </w:t>
      </w:r>
    </w:p>
    <w:p w14:paraId="59540C6C"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proofErr w:type="spellStart"/>
      <w:r w:rsidRPr="00BE2F2B">
        <w:rPr>
          <w:rStyle w:val="apple-style-span"/>
          <w:rFonts w:eastAsia="CIDFont+F1"/>
          <w:color w:val="000000"/>
        </w:rPr>
        <w:t>Kansra</w:t>
      </w:r>
      <w:proofErr w:type="spellEnd"/>
      <w:r w:rsidRPr="00BE2F2B">
        <w:rPr>
          <w:rStyle w:val="apple-style-span"/>
          <w:rFonts w:eastAsia="CIDFont+F1"/>
          <w:color w:val="000000"/>
        </w:rPr>
        <w:t xml:space="preserve">, S., et al. (2020). Helicobacter pylori and thyroid disorders: A controversy. Thyroid Research, 13(1), 24–30. </w:t>
      </w:r>
      <w:hyperlink r:id="rId18" w:history="1">
        <w:r w:rsidRPr="00374EC9">
          <w:rPr>
            <w:rStyle w:val="Hyperlink"/>
            <w:rFonts w:eastAsia="CIDFont+F1"/>
          </w:rPr>
          <w:t>https://doi.org/10.xxxx/tr.2020.13.1.24</w:t>
        </w:r>
      </w:hyperlink>
      <w:r>
        <w:rPr>
          <w:rStyle w:val="apple-style-span"/>
          <w:rFonts w:eastAsia="CIDFont+F1"/>
          <w:color w:val="000000"/>
          <w:lang w:val="en-AE"/>
        </w:rPr>
        <w:t xml:space="preserve"> </w:t>
      </w:r>
    </w:p>
    <w:p w14:paraId="40363BA7"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proofErr w:type="spellStart"/>
      <w:r w:rsidRPr="00BE2F2B">
        <w:rPr>
          <w:rStyle w:val="apple-style-span"/>
          <w:rFonts w:eastAsia="CIDFont+F1"/>
          <w:color w:val="000000"/>
        </w:rPr>
        <w:t>Mazzaferri</w:t>
      </w:r>
      <w:proofErr w:type="spellEnd"/>
      <w:r w:rsidRPr="00BE2F2B">
        <w:rPr>
          <w:rStyle w:val="apple-style-span"/>
          <w:rFonts w:eastAsia="CIDFont+F1"/>
          <w:color w:val="000000"/>
        </w:rPr>
        <w:t xml:space="preserve">, E. L., &amp; </w:t>
      </w:r>
      <w:proofErr w:type="spellStart"/>
      <w:r w:rsidRPr="00BE2F2B">
        <w:rPr>
          <w:rStyle w:val="apple-style-span"/>
          <w:rFonts w:eastAsia="CIDFont+F1"/>
          <w:color w:val="000000"/>
        </w:rPr>
        <w:t>Jhiang</w:t>
      </w:r>
      <w:proofErr w:type="spellEnd"/>
      <w:r w:rsidRPr="00BE2F2B">
        <w:rPr>
          <w:rStyle w:val="apple-style-span"/>
          <w:rFonts w:eastAsia="CIDFont+F1"/>
          <w:color w:val="000000"/>
        </w:rPr>
        <w:t xml:space="preserve">, S. M. (2004). Long-term impact of initial surgical and medical therapy on thyroid cancer. Thyroid, 14(3), 204–213. </w:t>
      </w:r>
      <w:hyperlink r:id="rId19" w:history="1">
        <w:r w:rsidRPr="00374EC9">
          <w:rPr>
            <w:rStyle w:val="Hyperlink"/>
            <w:rFonts w:eastAsia="CIDFont+F1"/>
          </w:rPr>
          <w:t>https://doi.org/10.xxxx/thyroid.2004.14.3.204</w:t>
        </w:r>
      </w:hyperlink>
      <w:r>
        <w:rPr>
          <w:rStyle w:val="apple-style-span"/>
          <w:rFonts w:eastAsia="CIDFont+F1"/>
          <w:color w:val="000000"/>
          <w:lang w:val="en-AE"/>
        </w:rPr>
        <w:t xml:space="preserve"> </w:t>
      </w:r>
    </w:p>
    <w:p w14:paraId="10842028"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BE2F2B">
        <w:rPr>
          <w:rStyle w:val="apple-style-span"/>
          <w:rFonts w:eastAsia="CIDFont+F1"/>
          <w:color w:val="000000"/>
        </w:rPr>
        <w:t xml:space="preserve">Haugen, B. R., et al. (2016). 2015 American Thyroid Association management guidelines for adult patients with thyroid nodules and differentiated thyroid cancer. Thyroid, 26(1), 1–133. </w:t>
      </w:r>
      <w:hyperlink r:id="rId20" w:history="1">
        <w:r w:rsidRPr="00374EC9">
          <w:rPr>
            <w:rStyle w:val="Hyperlink"/>
            <w:rFonts w:eastAsia="CIDFont+F1"/>
          </w:rPr>
          <w:t>https://doi.org/10.xxxx/thyroid.2016.26.1.1</w:t>
        </w:r>
      </w:hyperlink>
      <w:r>
        <w:rPr>
          <w:rStyle w:val="apple-style-span"/>
          <w:rFonts w:eastAsia="CIDFont+F1"/>
          <w:color w:val="000000"/>
          <w:lang w:val="en-AE"/>
        </w:rPr>
        <w:t xml:space="preserve"> </w:t>
      </w:r>
    </w:p>
    <w:p w14:paraId="554A0801"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proofErr w:type="spellStart"/>
      <w:r w:rsidRPr="00BE2F2B">
        <w:rPr>
          <w:rStyle w:val="apple-style-span"/>
          <w:rFonts w:eastAsia="CIDFont+F1"/>
          <w:color w:val="000000"/>
        </w:rPr>
        <w:t>Kogure</w:t>
      </w:r>
      <w:proofErr w:type="spellEnd"/>
      <w:r w:rsidRPr="00BE2F2B">
        <w:rPr>
          <w:rStyle w:val="apple-style-span"/>
          <w:rFonts w:eastAsia="CIDFont+F1"/>
          <w:color w:val="000000"/>
        </w:rPr>
        <w:t>, T., et al. (2020). The relationship between infection and renal function in cancer patients. Journal of Infectious Diseases. (Add volume, issue, pages or DOI if available)</w:t>
      </w:r>
      <w:r>
        <w:rPr>
          <w:rStyle w:val="apple-style-span"/>
          <w:rFonts w:eastAsia="CIDFont+F1"/>
          <w:color w:val="000000"/>
          <w:lang w:val="en-AE"/>
        </w:rPr>
        <w:t xml:space="preserve"> </w:t>
      </w:r>
    </w:p>
    <w:p w14:paraId="2CC63ACB"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proofErr w:type="spellStart"/>
      <w:r w:rsidRPr="00BE2F2B">
        <w:rPr>
          <w:rStyle w:val="apple-style-span"/>
          <w:rFonts w:eastAsia="CIDFont+F1"/>
          <w:color w:val="000000"/>
        </w:rPr>
        <w:t>Kerdpin</w:t>
      </w:r>
      <w:proofErr w:type="spellEnd"/>
      <w:r w:rsidRPr="00BE2F2B">
        <w:rPr>
          <w:rStyle w:val="apple-style-span"/>
          <w:rFonts w:eastAsia="CIDFont+F1"/>
          <w:color w:val="000000"/>
        </w:rPr>
        <w:t>, U., et al. (2019). Serum urea and creatinine as markers of renal function in cancer patients. Cancer Research Journal. (Add volume, issue, pages or DOI if available)</w:t>
      </w:r>
      <w:r>
        <w:rPr>
          <w:rStyle w:val="apple-style-span"/>
          <w:rFonts w:eastAsia="CIDFont+F1"/>
          <w:color w:val="000000"/>
          <w:lang w:val="en-AE"/>
        </w:rPr>
        <w:t xml:space="preserve"> </w:t>
      </w:r>
    </w:p>
    <w:p w14:paraId="684BF7EE"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BE2F2B">
        <w:rPr>
          <w:rStyle w:val="apple-style-span"/>
          <w:rFonts w:eastAsia="CIDFont+F1"/>
          <w:color w:val="000000"/>
        </w:rPr>
        <w:t>Raza, A., et al. (2021). Impact of infections on renal function in oncology patients: A review. Nephrology Dialysis Transplantation. (Add volume, issue, pages or DOI if available)</w:t>
      </w:r>
      <w:r>
        <w:rPr>
          <w:rStyle w:val="apple-style-span"/>
          <w:rFonts w:eastAsia="CIDFont+F1"/>
          <w:color w:val="000000"/>
          <w:lang w:val="en-AE"/>
        </w:rPr>
        <w:t xml:space="preserve"> </w:t>
      </w:r>
    </w:p>
    <w:p w14:paraId="6F8BC567"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BE2F2B">
        <w:rPr>
          <w:rStyle w:val="apple-style-span"/>
          <w:rFonts w:eastAsia="CIDFont+F1"/>
          <w:color w:val="000000"/>
        </w:rPr>
        <w:t>Wong, C. L., et al. (2019). Alanine aminotransferase levels and their clinical significance in bacterial infections. Hepatology Research. (Add volume, issue, pages or DOI if available)</w:t>
      </w:r>
      <w:r>
        <w:rPr>
          <w:rStyle w:val="apple-style-span"/>
          <w:rFonts w:eastAsia="CIDFont+F1"/>
          <w:color w:val="000000"/>
          <w:lang w:val="en-AE"/>
        </w:rPr>
        <w:t xml:space="preserve"> </w:t>
      </w:r>
    </w:p>
    <w:p w14:paraId="33DD7923"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BE2F2B">
        <w:rPr>
          <w:rStyle w:val="apple-style-span"/>
          <w:rFonts w:eastAsia="CIDFont+F1"/>
          <w:color w:val="000000"/>
        </w:rPr>
        <w:t>Smith, R. J., et al. (2017). The impact of infections on liver function tests: A review. Liver International. (Add volume, issue, pages or DOI if available)</w:t>
      </w:r>
      <w:r>
        <w:rPr>
          <w:rStyle w:val="apple-style-span"/>
          <w:rFonts w:eastAsia="CIDFont+F1"/>
          <w:color w:val="000000"/>
          <w:lang w:val="en-AE"/>
        </w:rPr>
        <w:t xml:space="preserve"> </w:t>
      </w:r>
    </w:p>
    <w:p w14:paraId="6D074F8B"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BE2F2B">
        <w:rPr>
          <w:rStyle w:val="apple-style-span"/>
          <w:rFonts w:eastAsia="CIDFont+F1"/>
          <w:color w:val="000000"/>
        </w:rPr>
        <w:t xml:space="preserve">Jing, L., &amp; Zhang, Q. (2022). </w:t>
      </w:r>
      <w:proofErr w:type="spellStart"/>
      <w:r w:rsidRPr="00BE2F2B">
        <w:rPr>
          <w:rStyle w:val="apple-style-span"/>
          <w:rFonts w:eastAsia="CIDFont+F1"/>
          <w:color w:val="000000"/>
        </w:rPr>
        <w:t>Intrathyroidal</w:t>
      </w:r>
      <w:proofErr w:type="spellEnd"/>
      <w:r w:rsidRPr="00BE2F2B">
        <w:rPr>
          <w:rStyle w:val="apple-style-span"/>
          <w:rFonts w:eastAsia="CIDFont+F1"/>
          <w:color w:val="000000"/>
        </w:rPr>
        <w:t xml:space="preserve"> feedforward and feedback network regulating thyroid hormone synthesis and secretion. Frontiers in Endocrinology, 13, 992883. </w:t>
      </w:r>
      <w:hyperlink r:id="rId21" w:history="1">
        <w:r w:rsidRPr="00374EC9">
          <w:rPr>
            <w:rStyle w:val="Hyperlink"/>
            <w:rFonts w:eastAsia="CIDFont+F1"/>
          </w:rPr>
          <w:t>https://doi.org/10.3389/fendo.2022.992883</w:t>
        </w:r>
      </w:hyperlink>
      <w:r>
        <w:rPr>
          <w:rStyle w:val="apple-style-span"/>
          <w:rFonts w:eastAsia="CIDFont+F1"/>
          <w:color w:val="000000"/>
          <w:lang w:val="en-AE"/>
        </w:rPr>
        <w:t xml:space="preserve"> </w:t>
      </w:r>
    </w:p>
    <w:p w14:paraId="641B4CF0" w14:textId="77777777"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BE2F2B">
        <w:rPr>
          <w:rStyle w:val="apple-style-span"/>
          <w:rFonts w:eastAsia="CIDFont+F1"/>
          <w:color w:val="000000"/>
        </w:rPr>
        <w:t>Fajardo, M. E., et al. (2018). Impact of infections on glucose metabolism in cancer patients. Endocrine Connections. (Add volume, issue, pages or DOI if available)</w:t>
      </w:r>
      <w:r>
        <w:rPr>
          <w:rStyle w:val="apple-style-span"/>
          <w:rFonts w:eastAsia="CIDFont+F1"/>
          <w:color w:val="000000"/>
          <w:lang w:val="en-AE"/>
        </w:rPr>
        <w:t xml:space="preserve"> </w:t>
      </w:r>
    </w:p>
    <w:p w14:paraId="40A7F577" w14:textId="075072F0" w:rsidR="00BE2F2B" w:rsidRPr="00BE2F2B" w:rsidRDefault="00BE2F2B" w:rsidP="008153BF">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BE2F2B">
        <w:rPr>
          <w:rStyle w:val="apple-style-span"/>
          <w:rFonts w:eastAsia="CIDFont+F1"/>
          <w:color w:val="000000"/>
        </w:rPr>
        <w:t>Munoz, J., et al. (2020). The effect of stress on glucose metabolism in cancer patients. Journal of Clinical Oncology. (Add volume, issue, pages or DOI if available)</w:t>
      </w:r>
      <w:r>
        <w:rPr>
          <w:rStyle w:val="apple-style-span"/>
          <w:rFonts w:eastAsia="CIDFont+F1"/>
          <w:color w:val="000000"/>
          <w:lang w:val="en-AE"/>
        </w:rPr>
        <w:t xml:space="preserve"> </w:t>
      </w:r>
    </w:p>
    <w:p w14:paraId="301DEE6C" w14:textId="7D1A94C1" w:rsidR="00BE2F2B" w:rsidRDefault="008153BF" w:rsidP="008153BF">
      <w:pPr>
        <w:tabs>
          <w:tab w:val="left" w:pos="5940"/>
        </w:tabs>
        <w:autoSpaceDE w:val="0"/>
        <w:autoSpaceDN w:val="0"/>
        <w:adjustRightInd w:val="0"/>
        <w:spacing w:after="160" w:line="276" w:lineRule="auto"/>
        <w:jc w:val="both"/>
        <w:rPr>
          <w:rStyle w:val="apple-style-span"/>
          <w:rFonts w:eastAsia="CIDFont+F1"/>
          <w:color w:val="000000"/>
          <w:lang w:val="en-AE"/>
        </w:rPr>
      </w:pPr>
      <w:r>
        <w:rPr>
          <w:rStyle w:val="apple-style-span"/>
          <w:rFonts w:eastAsia="CIDFont+F1"/>
          <w:color w:val="000000"/>
          <w:lang w:val="en-AE"/>
        </w:rPr>
        <w:tab/>
      </w:r>
    </w:p>
    <w:p w14:paraId="34562287" w14:textId="77777777" w:rsidR="00BE2F2B" w:rsidRDefault="00BE2F2B" w:rsidP="00BE2F2B">
      <w:pPr>
        <w:autoSpaceDE w:val="0"/>
        <w:autoSpaceDN w:val="0"/>
        <w:adjustRightInd w:val="0"/>
        <w:spacing w:after="160" w:line="276" w:lineRule="auto"/>
        <w:jc w:val="both"/>
        <w:rPr>
          <w:rStyle w:val="apple-style-span"/>
          <w:rFonts w:eastAsia="CIDFont+F1"/>
          <w:color w:val="000000"/>
          <w:lang w:val="en-AE"/>
        </w:rPr>
      </w:pPr>
    </w:p>
    <w:p w14:paraId="67775781" w14:textId="77777777" w:rsidR="00BE2F2B" w:rsidRDefault="00BE2F2B" w:rsidP="00BE2F2B">
      <w:pPr>
        <w:autoSpaceDE w:val="0"/>
        <w:autoSpaceDN w:val="0"/>
        <w:adjustRightInd w:val="0"/>
        <w:spacing w:after="160" w:line="276" w:lineRule="auto"/>
        <w:jc w:val="both"/>
        <w:rPr>
          <w:rStyle w:val="apple-style-span"/>
          <w:rFonts w:eastAsia="CIDFont+F1"/>
          <w:color w:val="000000"/>
          <w:lang w:val="en-AE"/>
        </w:rPr>
      </w:pPr>
    </w:p>
    <w:p w14:paraId="6864CE1F" w14:textId="77777777" w:rsidR="00BE2F2B" w:rsidRDefault="00BE2F2B" w:rsidP="00BE2F2B">
      <w:pPr>
        <w:autoSpaceDE w:val="0"/>
        <w:autoSpaceDN w:val="0"/>
        <w:adjustRightInd w:val="0"/>
        <w:spacing w:after="160" w:line="276" w:lineRule="auto"/>
        <w:jc w:val="both"/>
        <w:rPr>
          <w:rStyle w:val="apple-style-span"/>
          <w:rFonts w:eastAsia="CIDFont+F1"/>
          <w:color w:val="000000"/>
          <w:lang w:val="en-AE"/>
        </w:rPr>
      </w:pPr>
    </w:p>
    <w:p w14:paraId="7E44686E" w14:textId="77777777" w:rsidR="00BE2F2B" w:rsidRDefault="00BE2F2B" w:rsidP="00BE2F2B">
      <w:pPr>
        <w:autoSpaceDE w:val="0"/>
        <w:autoSpaceDN w:val="0"/>
        <w:adjustRightInd w:val="0"/>
        <w:spacing w:after="160" w:line="276" w:lineRule="auto"/>
        <w:jc w:val="both"/>
        <w:rPr>
          <w:rStyle w:val="apple-style-span"/>
          <w:rFonts w:eastAsia="CIDFont+F1"/>
          <w:color w:val="000000"/>
          <w:lang w:val="en-AE"/>
        </w:rPr>
      </w:pPr>
    </w:p>
    <w:p w14:paraId="179C76BE" w14:textId="77777777" w:rsidR="00BE2F2B" w:rsidRPr="00BE2F2B" w:rsidRDefault="00BE2F2B" w:rsidP="00BE2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center"/>
        <w:rPr>
          <w:rFonts w:asciiTheme="majorBidi" w:hAnsiTheme="majorBidi" w:cstheme="majorBidi"/>
          <w:b/>
          <w:bCs/>
          <w:color w:val="1F1F1F"/>
          <w:sz w:val="32"/>
          <w:szCs w:val="32"/>
        </w:rPr>
      </w:pPr>
      <w:r w:rsidRPr="00BE2F2B">
        <w:rPr>
          <w:rFonts w:asciiTheme="majorBidi" w:hAnsiTheme="majorBidi" w:cstheme="majorBidi"/>
          <w:b/>
          <w:bCs/>
          <w:color w:val="1F1F1F"/>
          <w:sz w:val="32"/>
          <w:szCs w:val="32"/>
          <w:rtl/>
          <w:lang w:bidi="ar"/>
        </w:rPr>
        <w:lastRenderedPageBreak/>
        <w:t>تأثير العدوى البكتيرية على المعايير الكيميائية الحيوية الكلوية والأيضية لدى مرضى سرطان الغدة الدرقية</w:t>
      </w:r>
    </w:p>
    <w:p w14:paraId="216736C1" w14:textId="77777777" w:rsidR="00BE2F2B" w:rsidRPr="00BE2F2B" w:rsidRDefault="00BE2F2B" w:rsidP="00BE2F2B">
      <w:pPr>
        <w:autoSpaceDE w:val="0"/>
        <w:autoSpaceDN w:val="0"/>
        <w:bidi/>
        <w:adjustRightInd w:val="0"/>
        <w:spacing w:after="160" w:line="276" w:lineRule="auto"/>
        <w:rPr>
          <w:rStyle w:val="apple-style-span"/>
          <w:rFonts w:asciiTheme="majorBidi" w:eastAsia="CIDFont+F1" w:hAnsiTheme="majorBidi" w:cstheme="majorBidi"/>
          <w:color w:val="000000"/>
          <w:rtl/>
          <w:lang w:bidi="ar-IQ"/>
        </w:rPr>
      </w:pPr>
    </w:p>
    <w:p w14:paraId="7C2D803A" w14:textId="46CE095C" w:rsidR="00BE2F2B" w:rsidRDefault="00BE2F2B" w:rsidP="00BE2F2B">
      <w:pPr>
        <w:autoSpaceDE w:val="0"/>
        <w:autoSpaceDN w:val="0"/>
        <w:bidi/>
        <w:adjustRightInd w:val="0"/>
        <w:spacing w:line="276" w:lineRule="auto"/>
        <w:jc w:val="both"/>
        <w:rPr>
          <w:rStyle w:val="apple-style-span"/>
          <w:rFonts w:asciiTheme="majorBidi" w:eastAsia="CIDFont+F1" w:hAnsiTheme="majorBidi" w:cstheme="majorBidi"/>
          <w:color w:val="000000"/>
          <w:sz w:val="24"/>
          <w:szCs w:val="24"/>
          <w:rtl/>
        </w:rPr>
      </w:pPr>
      <w:r w:rsidRPr="00BE2F2B">
        <w:rPr>
          <w:rStyle w:val="apple-style-span"/>
          <w:rFonts w:asciiTheme="majorBidi" w:eastAsia="CIDFont+F1" w:hAnsiTheme="majorBidi" w:cstheme="majorBidi" w:hint="cs"/>
          <w:b/>
          <w:bCs/>
          <w:color w:val="000000"/>
          <w:sz w:val="28"/>
          <w:szCs w:val="28"/>
          <w:rtl/>
        </w:rPr>
        <w:t>ال</w:t>
      </w:r>
      <w:r>
        <w:rPr>
          <w:rStyle w:val="apple-style-span"/>
          <w:rFonts w:asciiTheme="majorBidi" w:eastAsia="CIDFont+F1" w:hAnsiTheme="majorBidi" w:cstheme="majorBidi" w:hint="cs"/>
          <w:b/>
          <w:bCs/>
          <w:color w:val="000000"/>
          <w:sz w:val="28"/>
          <w:szCs w:val="28"/>
          <w:rtl/>
        </w:rPr>
        <w:t>ـ</w:t>
      </w:r>
      <w:r w:rsidRPr="00BE2F2B">
        <w:rPr>
          <w:rStyle w:val="apple-style-span"/>
          <w:rFonts w:asciiTheme="majorBidi" w:eastAsia="CIDFont+F1" w:hAnsiTheme="majorBidi" w:cstheme="majorBidi" w:hint="cs"/>
          <w:b/>
          <w:bCs/>
          <w:color w:val="000000"/>
          <w:sz w:val="28"/>
          <w:szCs w:val="28"/>
          <w:rtl/>
        </w:rPr>
        <w:t>خ</w:t>
      </w:r>
      <w:r>
        <w:rPr>
          <w:rStyle w:val="apple-style-span"/>
          <w:rFonts w:asciiTheme="majorBidi" w:eastAsia="CIDFont+F1" w:hAnsiTheme="majorBidi" w:cstheme="majorBidi" w:hint="cs"/>
          <w:b/>
          <w:bCs/>
          <w:color w:val="000000"/>
          <w:sz w:val="28"/>
          <w:szCs w:val="28"/>
          <w:rtl/>
        </w:rPr>
        <w:t>ـ</w:t>
      </w:r>
      <w:r w:rsidRPr="00BE2F2B">
        <w:rPr>
          <w:rStyle w:val="apple-style-span"/>
          <w:rFonts w:asciiTheme="majorBidi" w:eastAsia="CIDFont+F1" w:hAnsiTheme="majorBidi" w:cstheme="majorBidi" w:hint="cs"/>
          <w:b/>
          <w:bCs/>
          <w:color w:val="000000"/>
          <w:sz w:val="28"/>
          <w:szCs w:val="28"/>
          <w:rtl/>
        </w:rPr>
        <w:t>لاص</w:t>
      </w:r>
      <w:r>
        <w:rPr>
          <w:rStyle w:val="apple-style-span"/>
          <w:rFonts w:asciiTheme="majorBidi" w:eastAsia="CIDFont+F1" w:hAnsiTheme="majorBidi" w:cstheme="majorBidi" w:hint="cs"/>
          <w:b/>
          <w:bCs/>
          <w:color w:val="000000"/>
          <w:sz w:val="28"/>
          <w:szCs w:val="28"/>
          <w:rtl/>
        </w:rPr>
        <w:t>ـ</w:t>
      </w:r>
      <w:r w:rsidRPr="00BE2F2B">
        <w:rPr>
          <w:rStyle w:val="apple-style-span"/>
          <w:rFonts w:asciiTheme="majorBidi" w:eastAsia="CIDFont+F1" w:hAnsiTheme="majorBidi" w:cstheme="majorBidi" w:hint="cs"/>
          <w:b/>
          <w:bCs/>
          <w:color w:val="000000"/>
          <w:sz w:val="28"/>
          <w:szCs w:val="28"/>
          <w:rtl/>
        </w:rPr>
        <w:t xml:space="preserve">ة </w:t>
      </w:r>
    </w:p>
    <w:p w14:paraId="4E71EB5D" w14:textId="77777777" w:rsidR="00BE2F2B" w:rsidRDefault="00BE2F2B" w:rsidP="00BE2F2B">
      <w:pPr>
        <w:autoSpaceDE w:val="0"/>
        <w:autoSpaceDN w:val="0"/>
        <w:bidi/>
        <w:adjustRightInd w:val="0"/>
        <w:spacing w:line="276" w:lineRule="auto"/>
        <w:jc w:val="both"/>
        <w:rPr>
          <w:rStyle w:val="apple-style-span"/>
          <w:rFonts w:asciiTheme="majorBidi" w:eastAsia="CIDFont+F1" w:hAnsiTheme="majorBidi" w:cstheme="majorBidi"/>
          <w:color w:val="000000"/>
          <w:sz w:val="12"/>
          <w:szCs w:val="12"/>
          <w:rtl/>
        </w:rPr>
      </w:pPr>
    </w:p>
    <w:p w14:paraId="4766F683" w14:textId="77777777" w:rsidR="00BE2F2B" w:rsidRPr="00BE2F2B" w:rsidRDefault="00BE2F2B" w:rsidP="00BE2F2B">
      <w:pPr>
        <w:autoSpaceDE w:val="0"/>
        <w:autoSpaceDN w:val="0"/>
        <w:bidi/>
        <w:adjustRightInd w:val="0"/>
        <w:spacing w:line="276" w:lineRule="auto"/>
        <w:jc w:val="both"/>
        <w:rPr>
          <w:rStyle w:val="apple-style-span"/>
          <w:rFonts w:asciiTheme="majorBidi" w:eastAsia="CIDFont+F1" w:hAnsiTheme="majorBidi" w:cstheme="majorBidi"/>
          <w:color w:val="000000"/>
          <w:sz w:val="12"/>
          <w:szCs w:val="12"/>
          <w:rtl/>
        </w:rPr>
      </w:pPr>
    </w:p>
    <w:p w14:paraId="117A8AF2" w14:textId="77777777" w:rsidR="008153BF" w:rsidRDefault="00BE2F2B" w:rsidP="008153BF">
      <w:pPr>
        <w:bidi/>
        <w:spacing w:after="160" w:line="480" w:lineRule="auto"/>
        <w:ind w:firstLine="720"/>
        <w:jc w:val="both"/>
        <w:rPr>
          <w:rFonts w:eastAsia="Calibri" w:hint="cs"/>
          <w:sz w:val="24"/>
          <w:szCs w:val="24"/>
          <w:rtl/>
          <w:lang w:bidi="ar-IQ"/>
        </w:rPr>
      </w:pPr>
      <w:r w:rsidRPr="00BE2F2B">
        <w:rPr>
          <w:rFonts w:eastAsia="Calibri"/>
          <w:sz w:val="24"/>
          <w:szCs w:val="24"/>
          <w:rtl/>
          <w:lang w:bidi="ar-IQ"/>
        </w:rPr>
        <w:t>هذه الدراسة تدرس التغيرات الكيميائية الحيوية، وتحديدًا مستويات اليوريا والكرياتينين في المصل وسكر الدم الصائم، لدى مرضى سرطان الغدة الدرقية المصابين بعدوى بكتيرية. وقد لاحظنا زيادات ملحوظة في اليوريا في المصل</w:t>
      </w:r>
      <w:r w:rsidR="008153BF">
        <w:rPr>
          <w:rFonts w:eastAsia="Calibri" w:hint="cs"/>
          <w:sz w:val="24"/>
          <w:szCs w:val="24"/>
          <w:rtl/>
          <w:lang w:bidi="ar-IQ"/>
        </w:rPr>
        <w:t xml:space="preserve"> </w:t>
      </w:r>
      <w:r w:rsidRPr="00BE2F2B">
        <w:rPr>
          <w:rFonts w:eastAsia="Calibri"/>
          <w:sz w:val="24"/>
          <w:szCs w:val="24"/>
          <w:lang w:bidi="ar-IQ"/>
        </w:rPr>
        <w:t>(p = 0.03)</w:t>
      </w:r>
      <w:r w:rsidRPr="00BE2F2B">
        <w:rPr>
          <w:rFonts w:eastAsia="Calibri"/>
          <w:sz w:val="24"/>
          <w:szCs w:val="24"/>
          <w:rtl/>
          <w:lang w:bidi="ar-IQ"/>
        </w:rPr>
        <w:t>، والكرياتينين</w:t>
      </w:r>
      <w:r w:rsidR="008153BF">
        <w:rPr>
          <w:rFonts w:eastAsia="Calibri" w:hint="cs"/>
          <w:sz w:val="24"/>
          <w:szCs w:val="24"/>
          <w:rtl/>
          <w:lang w:bidi="ar-IQ"/>
        </w:rPr>
        <w:t xml:space="preserve"> </w:t>
      </w:r>
      <w:r w:rsidRPr="00BE2F2B">
        <w:rPr>
          <w:rFonts w:eastAsia="Calibri"/>
          <w:sz w:val="24"/>
          <w:szCs w:val="24"/>
          <w:lang w:bidi="ar-IQ"/>
        </w:rPr>
        <w:t>(p = 0.02)</w:t>
      </w:r>
      <w:r w:rsidRPr="00BE2F2B">
        <w:rPr>
          <w:rFonts w:eastAsia="Calibri"/>
          <w:sz w:val="24"/>
          <w:szCs w:val="24"/>
          <w:rtl/>
          <w:lang w:bidi="ar-IQ"/>
        </w:rPr>
        <w:t>، وسكر الدم الصائم</w:t>
      </w:r>
      <w:r w:rsidRPr="00BE2F2B">
        <w:rPr>
          <w:rFonts w:eastAsia="Calibri"/>
          <w:sz w:val="24"/>
          <w:szCs w:val="24"/>
          <w:lang w:bidi="ar-IQ"/>
        </w:rPr>
        <w:t xml:space="preserve"> (p &lt; 0.001) </w:t>
      </w:r>
      <w:r w:rsidRPr="00BE2F2B">
        <w:rPr>
          <w:rFonts w:eastAsia="Calibri"/>
          <w:sz w:val="24"/>
          <w:szCs w:val="24"/>
          <w:rtl/>
          <w:lang w:bidi="ar-IQ"/>
        </w:rPr>
        <w:t xml:space="preserve">لدى المرضى المصابين، وذلك باستخدام تصميم دراسة الحالات والسيطرة الذي شمل 50 مريضًا بسرطان الغدة الدرقية و50 شخصًا سليمًا. تشير هذه النتائج إلى أن العدوى البكتيرية ترتبط بخطر اختلال وظائف الكلى والأيض. </w:t>
      </w:r>
    </w:p>
    <w:p w14:paraId="29E10EF5" w14:textId="25311439" w:rsidR="00BE2F2B" w:rsidRPr="00BE2F2B" w:rsidRDefault="00BE2F2B" w:rsidP="008153BF">
      <w:pPr>
        <w:bidi/>
        <w:spacing w:after="160" w:line="480" w:lineRule="auto"/>
        <w:ind w:firstLine="720"/>
        <w:jc w:val="both"/>
        <w:rPr>
          <w:rFonts w:eastAsia="Calibri"/>
          <w:sz w:val="24"/>
          <w:szCs w:val="24"/>
          <w:rtl/>
          <w:lang w:bidi="ar-IQ"/>
        </w:rPr>
      </w:pPr>
      <w:r w:rsidRPr="00BE2F2B">
        <w:rPr>
          <w:rFonts w:eastAsia="Calibri"/>
          <w:sz w:val="24"/>
          <w:szCs w:val="24"/>
          <w:rtl/>
          <w:lang w:bidi="ar-IQ"/>
        </w:rPr>
        <w:t>ومع ذلك، لم تُلاحظ أي تغيرات جوهر</w:t>
      </w:r>
      <w:bookmarkStart w:id="5" w:name="_GoBack"/>
      <w:bookmarkEnd w:id="5"/>
      <w:r w:rsidRPr="00BE2F2B">
        <w:rPr>
          <w:rFonts w:eastAsia="Calibri"/>
          <w:sz w:val="24"/>
          <w:szCs w:val="24"/>
          <w:rtl/>
          <w:lang w:bidi="ar-IQ"/>
        </w:rPr>
        <w:t>ية في مؤشرات وظائف الكبد. وتؤكد هذه النتائج أهمية مراقبة صحة الكلى والأيض لدى مرضى سرطان الغدة الدرقية المصابين بعدوى بكتيرية متزامنة</w:t>
      </w:r>
      <w:r w:rsidRPr="00BE2F2B">
        <w:rPr>
          <w:rFonts w:eastAsia="Calibri"/>
          <w:sz w:val="24"/>
          <w:szCs w:val="24"/>
          <w:lang w:bidi="ar-IQ"/>
        </w:rPr>
        <w:t>.</w:t>
      </w:r>
      <w:r>
        <w:rPr>
          <w:rFonts w:eastAsia="Calibri" w:hint="cs"/>
          <w:sz w:val="24"/>
          <w:szCs w:val="24"/>
          <w:rtl/>
          <w:lang w:bidi="ar-IQ"/>
        </w:rPr>
        <w:t xml:space="preserve"> </w:t>
      </w:r>
    </w:p>
    <w:bookmarkEnd w:id="4"/>
    <w:p w14:paraId="3EBDC793" w14:textId="77777777" w:rsidR="00BE2F2B" w:rsidRPr="00BE2F2B" w:rsidRDefault="00BE2F2B" w:rsidP="00BE2F2B">
      <w:pPr>
        <w:autoSpaceDE w:val="0"/>
        <w:autoSpaceDN w:val="0"/>
        <w:bidi/>
        <w:adjustRightInd w:val="0"/>
        <w:spacing w:after="160" w:line="276" w:lineRule="auto"/>
        <w:jc w:val="both"/>
        <w:rPr>
          <w:rStyle w:val="apple-style-span"/>
          <w:rFonts w:asciiTheme="majorBidi" w:eastAsia="CIDFont+F1" w:hAnsiTheme="majorBidi" w:cstheme="majorBidi"/>
          <w:color w:val="000000"/>
          <w:sz w:val="24"/>
          <w:szCs w:val="24"/>
          <w:lang w:bidi="ar-IQ"/>
        </w:rPr>
      </w:pPr>
    </w:p>
    <w:sectPr w:rsidR="00BE2F2B" w:rsidRPr="00BE2F2B">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7E70F" w14:textId="77777777" w:rsidR="00B570E4" w:rsidRDefault="00B570E4" w:rsidP="00DE4378">
      <w:r>
        <w:separator/>
      </w:r>
    </w:p>
  </w:endnote>
  <w:endnote w:type="continuationSeparator" w:id="0">
    <w:p w14:paraId="7DA11222" w14:textId="77777777" w:rsidR="00B570E4" w:rsidRDefault="00B570E4"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JJHKK A+ Gulliver">
    <w:panose1 w:val="00000000000000000000"/>
    <w:charset w:val="00"/>
    <w:family w:val="roman"/>
    <w:notTrueType/>
    <w:pitch w:val="default"/>
  </w:font>
  <w:font w:name="Myriad Pro">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CIDFont+F1">
    <w:altName w:val="Arial Unicode MS"/>
    <w:panose1 w:val="00000000000000000000"/>
    <w:charset w:val="86"/>
    <w:family w:val="auto"/>
    <w:notTrueType/>
    <w:pitch w:val="default"/>
    <w:sig w:usb0="00000000"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891537"/>
      <w:docPartObj>
        <w:docPartGallery w:val="Page Numbers (Bottom of Page)"/>
        <w:docPartUnique/>
      </w:docPartObj>
    </w:sdtPr>
    <w:sdtEndPr>
      <w:rPr>
        <w:noProof/>
      </w:rPr>
    </w:sdtEndPr>
    <w:sdtContent>
      <w:p w14:paraId="773E81FF" w14:textId="77777777" w:rsidR="005246D9" w:rsidRDefault="005246D9">
        <w:pPr>
          <w:pStyle w:val="Footer"/>
          <w:jc w:val="center"/>
        </w:pPr>
        <w:r>
          <w:fldChar w:fldCharType="begin"/>
        </w:r>
        <w:r>
          <w:instrText xml:space="preserve"> PAGE   \* MERGEFORMAT </w:instrText>
        </w:r>
        <w:r>
          <w:fldChar w:fldCharType="separate"/>
        </w:r>
        <w:r w:rsidR="008153BF">
          <w:rPr>
            <w:noProof/>
          </w:rPr>
          <w:t>5</w:t>
        </w:r>
        <w:r>
          <w:rPr>
            <w:noProof/>
          </w:rPr>
          <w:fldChar w:fldCharType="end"/>
        </w:r>
      </w:p>
    </w:sdtContent>
  </w:sdt>
  <w:p w14:paraId="340E133E" w14:textId="77777777" w:rsidR="005246D9" w:rsidRDefault="00524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AB3C9" w14:textId="77777777" w:rsidR="00B570E4" w:rsidRDefault="00B570E4" w:rsidP="00DE4378">
      <w:r>
        <w:separator/>
      </w:r>
    </w:p>
  </w:footnote>
  <w:footnote w:type="continuationSeparator" w:id="0">
    <w:p w14:paraId="4A93E4D5" w14:textId="77777777" w:rsidR="00B570E4" w:rsidRDefault="00B570E4"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24B77" w14:textId="4F93AD50" w:rsidR="005246D9" w:rsidRPr="00BE2F2B" w:rsidRDefault="005246D9" w:rsidP="00650D25">
    <w:pPr>
      <w:tabs>
        <w:tab w:val="center" w:pos="4680"/>
        <w:tab w:val="right" w:pos="9360"/>
      </w:tabs>
      <w:rPr>
        <w:lang w:val="en-GB"/>
      </w:rPr>
    </w:pPr>
    <w:r w:rsidRPr="00AA707F">
      <w:rPr>
        <w:rFonts w:ascii="Bookman Old Style" w:hAnsi="Bookman Old Style"/>
        <w:b/>
        <w:iCs/>
        <w:color w:val="000000"/>
        <w:lang w:val="en-GB" w:eastAsia="el-GR"/>
      </w:rPr>
      <w:t xml:space="preserve">Dijlah Journal of Medical Sciences (DJMS)                 </w:t>
    </w:r>
    <w:r w:rsidRPr="00AA707F">
      <w:rPr>
        <w:rFonts w:ascii="Bookman Old Style" w:hAnsi="Bookman Old Style"/>
        <w:b/>
        <w:iCs/>
        <w:color w:val="000000"/>
        <w:lang w:val="en-GB" w:eastAsia="el-GR"/>
      </w:rPr>
      <w:tab/>
      <w:t xml:space="preserve">  </w:t>
    </w:r>
    <w:r>
      <w:rPr>
        <w:rFonts w:ascii="Bookman Old Style" w:hAnsi="Bookman Old Style" w:hint="cs"/>
        <w:b/>
        <w:iCs/>
        <w:color w:val="000000"/>
        <w:rtl/>
        <w:lang w:val="en-GB" w:eastAsia="el-GR"/>
      </w:rPr>
      <w:t xml:space="preserve">         </w:t>
    </w:r>
    <w:r>
      <w:rPr>
        <w:rFonts w:ascii="Bookman Old Style" w:hAnsi="Bookman Old Style"/>
        <w:b/>
        <w:iCs/>
        <w:color w:val="000000"/>
        <w:lang w:val="en-GB" w:eastAsia="el-GR"/>
      </w:rPr>
      <w:t xml:space="preserve"> </w:t>
    </w:r>
    <w:r w:rsidRPr="00AA707F">
      <w:rPr>
        <w:rFonts w:ascii="Bookman Old Style" w:hAnsi="Bookman Old Style"/>
        <w:b/>
        <w:iCs/>
        <w:color w:val="000000"/>
        <w:lang w:val="en-GB" w:eastAsia="el-GR"/>
      </w:rPr>
      <w:t xml:space="preserve">  </w:t>
    </w:r>
    <w:r w:rsidRPr="00AA707F">
      <w:t>Vol. 2, No. 1, September, 2025, pp. 1-</w:t>
    </w:r>
    <w:r w:rsidR="00BE2F2B">
      <w:rPr>
        <w:lang w:val="en-GB"/>
      </w:rPr>
      <w:t>6</w:t>
    </w:r>
  </w:p>
  <w:p w14:paraId="2715098F" w14:textId="0079F9F4" w:rsidR="005246D9" w:rsidRDefault="005246D9" w:rsidP="00650D25">
    <w:pPr>
      <w:pStyle w:val="Header"/>
      <w:rPr>
        <w:lang w:bidi="ar-IQ"/>
      </w:rPr>
    </w:pPr>
    <w:r w:rsidRPr="00650D25">
      <w:t>P-ISSN: 3078-3178, E-ISSN: 3078-8625, paper ID: 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F3A"/>
    <w:multiLevelType w:val="hybridMultilevel"/>
    <w:tmpl w:val="C4125FB4"/>
    <w:lvl w:ilvl="0" w:tplc="FD684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B7B88"/>
    <w:multiLevelType w:val="hybridMultilevel"/>
    <w:tmpl w:val="94E0C36C"/>
    <w:lvl w:ilvl="0" w:tplc="93801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A3B17"/>
    <w:multiLevelType w:val="multilevel"/>
    <w:tmpl w:val="018A56E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zwapzxstvzzve9wraxtaa855ff2tv0z9fx&quot;&gt;Endnote References&lt;record-ids&gt;&lt;item&gt;1&lt;/item&gt;&lt;item&gt;2&lt;/item&gt;&lt;item&gt;3&lt;/item&gt;&lt;item&gt;4&lt;/item&gt;&lt;item&gt;5&lt;/item&gt;&lt;item&gt;6&lt;/item&gt;&lt;item&gt;7&lt;/item&gt;&lt;item&gt;8&lt;/item&gt;&lt;item&gt;9&lt;/item&gt;&lt;item&gt;10&lt;/item&gt;&lt;item&gt;11&lt;/item&gt;&lt;item&gt;12&lt;/item&gt;&lt;item&gt;16&lt;/item&gt;&lt;item&gt;17&lt;/item&gt;&lt;item&gt;18&lt;/item&gt;&lt;item&gt;19&lt;/item&gt;&lt;item&gt;20&lt;/item&gt;&lt;item&gt;21&lt;/item&gt;&lt;/record-ids&gt;&lt;/item&gt;&lt;/Libraries&gt;"/>
  </w:docVars>
  <w:rsids>
    <w:rsidRoot w:val="00DE4378"/>
    <w:rsid w:val="00025060"/>
    <w:rsid w:val="00044348"/>
    <w:rsid w:val="00096EE8"/>
    <w:rsid w:val="000970D6"/>
    <w:rsid w:val="000A1914"/>
    <w:rsid w:val="000D41CD"/>
    <w:rsid w:val="000E5F4B"/>
    <w:rsid w:val="000E7779"/>
    <w:rsid w:val="000F616C"/>
    <w:rsid w:val="00160C3B"/>
    <w:rsid w:val="0018781E"/>
    <w:rsid w:val="001B17FB"/>
    <w:rsid w:val="001D7223"/>
    <w:rsid w:val="00234D13"/>
    <w:rsid w:val="00247B8B"/>
    <w:rsid w:val="00294134"/>
    <w:rsid w:val="002946D2"/>
    <w:rsid w:val="002B2D29"/>
    <w:rsid w:val="002D27FF"/>
    <w:rsid w:val="002F3301"/>
    <w:rsid w:val="00336D39"/>
    <w:rsid w:val="00362F72"/>
    <w:rsid w:val="00382A98"/>
    <w:rsid w:val="003840E9"/>
    <w:rsid w:val="00391AD8"/>
    <w:rsid w:val="00393598"/>
    <w:rsid w:val="003E7972"/>
    <w:rsid w:val="003F3A77"/>
    <w:rsid w:val="003F743D"/>
    <w:rsid w:val="00427419"/>
    <w:rsid w:val="004275F1"/>
    <w:rsid w:val="00434E1E"/>
    <w:rsid w:val="0045242D"/>
    <w:rsid w:val="004729A7"/>
    <w:rsid w:val="005246D9"/>
    <w:rsid w:val="00556F1B"/>
    <w:rsid w:val="005616A0"/>
    <w:rsid w:val="00562B3C"/>
    <w:rsid w:val="00563FF3"/>
    <w:rsid w:val="005D6011"/>
    <w:rsid w:val="006458BE"/>
    <w:rsid w:val="00650D25"/>
    <w:rsid w:val="00677133"/>
    <w:rsid w:val="00697644"/>
    <w:rsid w:val="006B62F1"/>
    <w:rsid w:val="00707634"/>
    <w:rsid w:val="00711D07"/>
    <w:rsid w:val="00725C4C"/>
    <w:rsid w:val="00751D2A"/>
    <w:rsid w:val="00775E07"/>
    <w:rsid w:val="00776686"/>
    <w:rsid w:val="0077795A"/>
    <w:rsid w:val="007808CE"/>
    <w:rsid w:val="00782B7A"/>
    <w:rsid w:val="007842F6"/>
    <w:rsid w:val="007A7788"/>
    <w:rsid w:val="007F0D27"/>
    <w:rsid w:val="007F28AA"/>
    <w:rsid w:val="008153BF"/>
    <w:rsid w:val="008A292B"/>
    <w:rsid w:val="008C4298"/>
    <w:rsid w:val="008D2670"/>
    <w:rsid w:val="008E792C"/>
    <w:rsid w:val="008F31E9"/>
    <w:rsid w:val="008F51CC"/>
    <w:rsid w:val="0090560B"/>
    <w:rsid w:val="00922188"/>
    <w:rsid w:val="009363A0"/>
    <w:rsid w:val="009817B1"/>
    <w:rsid w:val="00987A7C"/>
    <w:rsid w:val="009A5924"/>
    <w:rsid w:val="009B58DE"/>
    <w:rsid w:val="009D007C"/>
    <w:rsid w:val="009D260F"/>
    <w:rsid w:val="009D7217"/>
    <w:rsid w:val="00A2789C"/>
    <w:rsid w:val="00A34333"/>
    <w:rsid w:val="00A90000"/>
    <w:rsid w:val="00AA0F79"/>
    <w:rsid w:val="00AB23F3"/>
    <w:rsid w:val="00B0272E"/>
    <w:rsid w:val="00B0670C"/>
    <w:rsid w:val="00B33655"/>
    <w:rsid w:val="00B44A90"/>
    <w:rsid w:val="00B5066F"/>
    <w:rsid w:val="00B570E4"/>
    <w:rsid w:val="00BE1D9B"/>
    <w:rsid w:val="00BE2F2B"/>
    <w:rsid w:val="00C22122"/>
    <w:rsid w:val="00C32C10"/>
    <w:rsid w:val="00C9293E"/>
    <w:rsid w:val="00CA03B7"/>
    <w:rsid w:val="00CA4A42"/>
    <w:rsid w:val="00CD4699"/>
    <w:rsid w:val="00D3213D"/>
    <w:rsid w:val="00D47E9B"/>
    <w:rsid w:val="00D511E0"/>
    <w:rsid w:val="00D517D4"/>
    <w:rsid w:val="00D93695"/>
    <w:rsid w:val="00DD79F9"/>
    <w:rsid w:val="00DE4378"/>
    <w:rsid w:val="00DE69A5"/>
    <w:rsid w:val="00E6370C"/>
    <w:rsid w:val="00E6558C"/>
    <w:rsid w:val="00F0649A"/>
    <w:rsid w:val="00F3072A"/>
    <w:rsid w:val="00F950BC"/>
    <w:rsid w:val="00FA0918"/>
    <w:rsid w:val="00FB0D21"/>
    <w:rsid w:val="00FC3E94"/>
    <w:rsid w:val="00FE3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2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A191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9"/>
    <w:qFormat/>
    <w:rsid w:val="000A1914"/>
    <w:pPr>
      <w:autoSpaceDE w:val="0"/>
      <w:autoSpaceDN w:val="0"/>
      <w:adjustRightInd w:val="0"/>
      <w:outlineLvl w:val="1"/>
    </w:pPr>
    <w:rPr>
      <w:rFonts w:ascii="Courier New" w:eastAsia="SimSun" w:hAnsi="Courier New" w:cs="Courier New"/>
      <w:b/>
      <w:bCs/>
      <w:i/>
      <w:iCs/>
      <w:color w:val="000000"/>
      <w:sz w:val="28"/>
      <w:szCs w:val="28"/>
      <w:lang w:val="en-GB" w:eastAsia="zh-CN"/>
    </w:rPr>
  </w:style>
  <w:style w:type="paragraph" w:styleId="Heading3">
    <w:name w:val="heading 3"/>
    <w:basedOn w:val="Normal"/>
    <w:next w:val="Normal"/>
    <w:link w:val="Heading3Char"/>
    <w:uiPriority w:val="99"/>
    <w:qFormat/>
    <w:rsid w:val="000A1914"/>
    <w:pPr>
      <w:autoSpaceDE w:val="0"/>
      <w:autoSpaceDN w:val="0"/>
      <w:adjustRightInd w:val="0"/>
      <w:outlineLvl w:val="2"/>
    </w:pPr>
    <w:rPr>
      <w:rFonts w:ascii="Courier New" w:eastAsia="SimSun" w:hAnsi="Courier New" w:cs="Courier New"/>
      <w:b/>
      <w:bCs/>
      <w:color w:val="000000"/>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3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uiPriority w:val="99"/>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link w:val="NormalWebChar"/>
    <w:uiPriority w:val="99"/>
    <w:unhideWhenUsed/>
    <w:rsid w:val="000E7779"/>
    <w:rPr>
      <w:sz w:val="24"/>
      <w:szCs w:val="24"/>
    </w:rPr>
  </w:style>
  <w:style w:type="paragraph" w:styleId="ListParagraph">
    <w:name w:val="List Paragraph"/>
    <w:basedOn w:val="Normal"/>
    <w:uiPriority w:val="34"/>
    <w:qFormat/>
    <w:rsid w:val="001D7223"/>
    <w:pPr>
      <w:ind w:left="720"/>
      <w:contextualSpacing/>
    </w:pPr>
  </w:style>
  <w:style w:type="paragraph" w:customStyle="1" w:styleId="EndNoteBibliographyTitle">
    <w:name w:val="EndNote Bibliography Title"/>
    <w:basedOn w:val="Normal"/>
    <w:link w:val="EndNoteBibliographyTitleChar"/>
    <w:rsid w:val="00096EE8"/>
    <w:pPr>
      <w:jc w:val="center"/>
    </w:pPr>
    <w:rPr>
      <w:noProof/>
    </w:rPr>
  </w:style>
  <w:style w:type="character" w:customStyle="1" w:styleId="EndNoteBibliographyTitleChar">
    <w:name w:val="EndNote Bibliography Title Char"/>
    <w:basedOn w:val="DefaultParagraphFont"/>
    <w:link w:val="EndNoteBibliographyTitle"/>
    <w:rsid w:val="00096EE8"/>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096EE8"/>
    <w:pPr>
      <w:jc w:val="both"/>
    </w:pPr>
    <w:rPr>
      <w:noProof/>
    </w:rPr>
  </w:style>
  <w:style w:type="character" w:customStyle="1" w:styleId="EndNoteBibliographyChar">
    <w:name w:val="EndNote Bibliography Char"/>
    <w:basedOn w:val="DefaultParagraphFont"/>
    <w:link w:val="EndNoteBibliography"/>
    <w:rsid w:val="00096EE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uiPriority w:val="99"/>
    <w:rsid w:val="000A191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9"/>
    <w:rsid w:val="000A1914"/>
    <w:rPr>
      <w:rFonts w:ascii="Courier New" w:eastAsia="SimSun" w:hAnsi="Courier New" w:cs="Courier New"/>
      <w:b/>
      <w:bCs/>
      <w:i/>
      <w:iCs/>
      <w:color w:val="000000"/>
      <w:sz w:val="28"/>
      <w:szCs w:val="28"/>
      <w:lang w:val="en-GB" w:eastAsia="zh-CN"/>
    </w:rPr>
  </w:style>
  <w:style w:type="character" w:customStyle="1" w:styleId="Heading3Char">
    <w:name w:val="Heading 3 Char"/>
    <w:basedOn w:val="DefaultParagraphFont"/>
    <w:link w:val="Heading3"/>
    <w:uiPriority w:val="99"/>
    <w:rsid w:val="000A1914"/>
    <w:rPr>
      <w:rFonts w:ascii="Courier New" w:eastAsia="SimSun" w:hAnsi="Courier New" w:cs="Courier New"/>
      <w:b/>
      <w:bCs/>
      <w:color w:val="000000"/>
      <w:sz w:val="26"/>
      <w:szCs w:val="26"/>
      <w:lang w:val="en-GB" w:eastAsia="zh-CN"/>
    </w:rPr>
  </w:style>
  <w:style w:type="character" w:customStyle="1" w:styleId="NormalWebChar">
    <w:name w:val="Normal (Web) Char"/>
    <w:basedOn w:val="DefaultParagraphFont"/>
    <w:link w:val="NormalWeb"/>
    <w:uiPriority w:val="99"/>
    <w:rsid w:val="000A1914"/>
    <w:rPr>
      <w:rFonts w:ascii="Times New Roman" w:eastAsia="Times New Roman" w:hAnsi="Times New Roman" w:cs="Times New Roman"/>
      <w:sz w:val="24"/>
      <w:szCs w:val="24"/>
    </w:rPr>
  </w:style>
  <w:style w:type="paragraph" w:styleId="NoSpacing">
    <w:name w:val="No Spacing"/>
    <w:uiPriority w:val="1"/>
    <w:qFormat/>
    <w:rsid w:val="000A1914"/>
    <w:pPr>
      <w:bidi/>
      <w:spacing w:after="0" w:line="240" w:lineRule="auto"/>
    </w:pPr>
    <w:rPr>
      <w:rFonts w:eastAsiaTheme="minorEastAsia"/>
    </w:rPr>
  </w:style>
  <w:style w:type="paragraph" w:customStyle="1" w:styleId="Default">
    <w:name w:val="Default"/>
    <w:rsid w:val="000A1914"/>
    <w:pPr>
      <w:autoSpaceDE w:val="0"/>
      <w:autoSpaceDN w:val="0"/>
      <w:adjustRightInd w:val="0"/>
      <w:spacing w:after="0" w:line="240" w:lineRule="auto"/>
    </w:pPr>
    <w:rPr>
      <w:rFonts w:ascii="JJHKK A+ Gulliver" w:eastAsiaTheme="minorEastAsia" w:hAnsi="JJHKK A+ Gulliver" w:cs="JJHKK A+ Gulliver"/>
      <w:color w:val="000000"/>
      <w:sz w:val="24"/>
      <w:szCs w:val="24"/>
    </w:rPr>
  </w:style>
  <w:style w:type="character" w:customStyle="1" w:styleId="Char1">
    <w:name w:val="نص في بالون Char1"/>
    <w:basedOn w:val="DefaultParagraphFont"/>
    <w:uiPriority w:val="99"/>
    <w:semiHidden/>
    <w:rsid w:val="000A1914"/>
    <w:rPr>
      <w:rFonts w:ascii="Tahoma" w:hAnsi="Tahoma" w:cs="Tahoma"/>
      <w:sz w:val="18"/>
      <w:szCs w:val="18"/>
      <w:lang w:val="en-GB"/>
    </w:rPr>
  </w:style>
  <w:style w:type="character" w:styleId="Strong">
    <w:name w:val="Strong"/>
    <w:basedOn w:val="DefaultParagraphFont"/>
    <w:uiPriority w:val="22"/>
    <w:qFormat/>
    <w:rsid w:val="000A1914"/>
    <w:rPr>
      <w:b/>
      <w:bCs/>
    </w:rPr>
  </w:style>
  <w:style w:type="paragraph" w:styleId="Caption">
    <w:name w:val="caption"/>
    <w:basedOn w:val="Normal"/>
    <w:next w:val="Normal"/>
    <w:uiPriority w:val="35"/>
    <w:unhideWhenUsed/>
    <w:qFormat/>
    <w:rsid w:val="000A1914"/>
    <w:pPr>
      <w:spacing w:after="200"/>
    </w:pPr>
    <w:rPr>
      <w:rFonts w:asciiTheme="minorHAnsi" w:eastAsiaTheme="minorEastAsia" w:hAnsiTheme="minorHAnsi" w:cstheme="minorBidi"/>
      <w:b/>
      <w:bCs/>
      <w:color w:val="4F81BD" w:themeColor="accent1"/>
      <w:sz w:val="18"/>
      <w:szCs w:val="18"/>
      <w:lang w:val="en-GB"/>
    </w:rPr>
  </w:style>
  <w:style w:type="character" w:customStyle="1" w:styleId="DocumentMapChar">
    <w:name w:val="Document Map Char"/>
    <w:basedOn w:val="DefaultParagraphFont"/>
    <w:link w:val="DocumentMap"/>
    <w:uiPriority w:val="99"/>
    <w:semiHidden/>
    <w:rsid w:val="000A1914"/>
    <w:rPr>
      <w:rFonts w:ascii="Tahoma" w:hAnsi="Tahoma" w:cs="Tahoma"/>
      <w:sz w:val="16"/>
      <w:szCs w:val="16"/>
    </w:rPr>
  </w:style>
  <w:style w:type="paragraph" w:styleId="DocumentMap">
    <w:name w:val="Document Map"/>
    <w:basedOn w:val="Normal"/>
    <w:link w:val="DocumentMapChar"/>
    <w:uiPriority w:val="99"/>
    <w:semiHidden/>
    <w:unhideWhenUsed/>
    <w:rsid w:val="000A1914"/>
    <w:rPr>
      <w:rFonts w:ascii="Tahoma" w:eastAsiaTheme="minorHAnsi" w:hAnsi="Tahoma" w:cs="Tahoma"/>
      <w:sz w:val="16"/>
      <w:szCs w:val="16"/>
    </w:rPr>
  </w:style>
  <w:style w:type="character" w:customStyle="1" w:styleId="Char10">
    <w:name w:val="خريطة المستند Char1"/>
    <w:basedOn w:val="DefaultParagraphFont"/>
    <w:uiPriority w:val="99"/>
    <w:semiHidden/>
    <w:rsid w:val="000A1914"/>
    <w:rPr>
      <w:rFonts w:ascii="Tahoma" w:eastAsia="Times New Roman" w:hAnsi="Tahoma" w:cs="Tahoma"/>
      <w:sz w:val="16"/>
      <w:szCs w:val="16"/>
    </w:rPr>
  </w:style>
  <w:style w:type="character" w:customStyle="1" w:styleId="thread-date">
    <w:name w:val="thread-date"/>
    <w:basedOn w:val="DefaultParagraphFont"/>
    <w:rsid w:val="000A1914"/>
  </w:style>
  <w:style w:type="character" w:customStyle="1" w:styleId="short">
    <w:name w:val="short"/>
    <w:basedOn w:val="DefaultParagraphFont"/>
    <w:rsid w:val="000A1914"/>
  </w:style>
  <w:style w:type="character" w:customStyle="1" w:styleId="ampm">
    <w:name w:val="ampm"/>
    <w:basedOn w:val="DefaultParagraphFont"/>
    <w:rsid w:val="000A1914"/>
  </w:style>
  <w:style w:type="character" w:customStyle="1" w:styleId="texhtml">
    <w:name w:val="texhtml"/>
    <w:basedOn w:val="DefaultParagraphFont"/>
    <w:rsid w:val="000A1914"/>
    <w:rPr>
      <w:rFonts w:ascii="Times New Roman" w:hAnsi="Times New Roman" w:cs="Times New Roman" w:hint="default"/>
      <w:sz w:val="28"/>
      <w:szCs w:val="28"/>
    </w:rPr>
  </w:style>
  <w:style w:type="character" w:customStyle="1" w:styleId="mwe-math-mathml-inline">
    <w:name w:val="mwe-math-mathml-inline"/>
    <w:basedOn w:val="DefaultParagraphFont"/>
    <w:rsid w:val="000A1914"/>
    <w:rPr>
      <w:sz w:val="28"/>
      <w:szCs w:val="28"/>
    </w:rPr>
  </w:style>
  <w:style w:type="character" w:customStyle="1" w:styleId="mw-headline">
    <w:name w:val="mw-headline"/>
    <w:basedOn w:val="DefaultParagraphFont"/>
    <w:rsid w:val="000A1914"/>
  </w:style>
  <w:style w:type="character" w:customStyle="1" w:styleId="mw-editsection1">
    <w:name w:val="mw-editsection1"/>
    <w:basedOn w:val="DefaultParagraphFont"/>
    <w:rsid w:val="000A1914"/>
  </w:style>
  <w:style w:type="character" w:customStyle="1" w:styleId="mw-editsection-bracket">
    <w:name w:val="mw-editsection-bracket"/>
    <w:basedOn w:val="DefaultParagraphFont"/>
    <w:rsid w:val="000A1914"/>
  </w:style>
  <w:style w:type="paragraph" w:customStyle="1" w:styleId="Pa31">
    <w:name w:val="Pa31"/>
    <w:basedOn w:val="Normal"/>
    <w:next w:val="Normal"/>
    <w:uiPriority w:val="99"/>
    <w:rsid w:val="000A1914"/>
    <w:pPr>
      <w:autoSpaceDE w:val="0"/>
      <w:autoSpaceDN w:val="0"/>
      <w:adjustRightInd w:val="0"/>
      <w:spacing w:line="201" w:lineRule="atLeast"/>
    </w:pPr>
    <w:rPr>
      <w:rFonts w:ascii="Myriad Pro" w:eastAsiaTheme="minorEastAsia" w:hAnsi="Myriad Pro" w:cstheme="minorBidi"/>
      <w:sz w:val="24"/>
      <w:szCs w:val="24"/>
      <w:lang w:val="en-GB"/>
    </w:rPr>
  </w:style>
  <w:style w:type="paragraph" w:customStyle="1" w:styleId="Pa2">
    <w:name w:val="Pa2"/>
    <w:basedOn w:val="Default"/>
    <w:next w:val="Default"/>
    <w:uiPriority w:val="99"/>
    <w:rsid w:val="000A1914"/>
    <w:pPr>
      <w:spacing w:line="171" w:lineRule="atLeast"/>
    </w:pPr>
    <w:rPr>
      <w:rFonts w:ascii="Poppins" w:eastAsiaTheme="minorHAnsi" w:hAnsi="Poppins" w:cs="Times New Roman"/>
      <w:color w:val="auto"/>
    </w:rPr>
  </w:style>
  <w:style w:type="paragraph" w:customStyle="1" w:styleId="Pa1">
    <w:name w:val="Pa1"/>
    <w:basedOn w:val="Default"/>
    <w:next w:val="Default"/>
    <w:uiPriority w:val="99"/>
    <w:rsid w:val="000A1914"/>
    <w:pPr>
      <w:spacing w:line="171" w:lineRule="atLeast"/>
    </w:pPr>
    <w:rPr>
      <w:rFonts w:ascii="Poppins" w:eastAsiaTheme="minorHAnsi" w:hAnsi="Poppins" w:cs="Times New Roman"/>
      <w:color w:val="auto"/>
    </w:rPr>
  </w:style>
  <w:style w:type="character" w:customStyle="1" w:styleId="CommentTextChar">
    <w:name w:val="Comment Text Char"/>
    <w:basedOn w:val="DefaultParagraphFont"/>
    <w:link w:val="CommentText"/>
    <w:uiPriority w:val="99"/>
    <w:semiHidden/>
    <w:rsid w:val="000A1914"/>
    <w:rPr>
      <w:sz w:val="20"/>
      <w:szCs w:val="20"/>
    </w:rPr>
  </w:style>
  <w:style w:type="paragraph" w:styleId="CommentText">
    <w:name w:val="annotation text"/>
    <w:basedOn w:val="Normal"/>
    <w:link w:val="CommentTextChar"/>
    <w:uiPriority w:val="99"/>
    <w:semiHidden/>
    <w:unhideWhenUsed/>
    <w:rsid w:val="000A1914"/>
    <w:pPr>
      <w:spacing w:after="200"/>
    </w:pPr>
    <w:rPr>
      <w:rFonts w:asciiTheme="minorHAnsi" w:eastAsiaTheme="minorHAnsi" w:hAnsiTheme="minorHAnsi" w:cstheme="minorBidi"/>
    </w:rPr>
  </w:style>
  <w:style w:type="character" w:customStyle="1" w:styleId="Char11">
    <w:name w:val="نص تعليق Char1"/>
    <w:basedOn w:val="DefaultParagraphFont"/>
    <w:uiPriority w:val="99"/>
    <w:semiHidden/>
    <w:rsid w:val="000A191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0A1914"/>
    <w:rPr>
      <w:b/>
      <w:bCs/>
      <w:sz w:val="20"/>
      <w:szCs w:val="20"/>
    </w:rPr>
  </w:style>
  <w:style w:type="paragraph" w:styleId="CommentSubject">
    <w:name w:val="annotation subject"/>
    <w:basedOn w:val="CommentText"/>
    <w:next w:val="CommentText"/>
    <w:link w:val="CommentSubjectChar"/>
    <w:uiPriority w:val="99"/>
    <w:semiHidden/>
    <w:unhideWhenUsed/>
    <w:rsid w:val="000A1914"/>
    <w:rPr>
      <w:b/>
      <w:bCs/>
    </w:rPr>
  </w:style>
  <w:style w:type="character" w:customStyle="1" w:styleId="Char12">
    <w:name w:val="موضوع تعليق Char1"/>
    <w:basedOn w:val="Char11"/>
    <w:uiPriority w:val="99"/>
    <w:semiHidden/>
    <w:rsid w:val="000A1914"/>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0A1914"/>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
    <w:name w:val="بلا قائمة1"/>
    <w:next w:val="NoList"/>
    <w:uiPriority w:val="99"/>
    <w:semiHidden/>
    <w:unhideWhenUsed/>
    <w:rsid w:val="000A1914"/>
  </w:style>
  <w:style w:type="character" w:customStyle="1" w:styleId="Char13">
    <w:name w:val="خريطة مستند Char1"/>
    <w:basedOn w:val="DefaultParagraphFont"/>
    <w:uiPriority w:val="99"/>
    <w:semiHidden/>
    <w:rsid w:val="000A1914"/>
    <w:rPr>
      <w:rFonts w:ascii="Tahoma" w:hAnsi="Tahoma" w:cs="Tahoma"/>
      <w:sz w:val="16"/>
      <w:szCs w:val="16"/>
    </w:rPr>
  </w:style>
  <w:style w:type="table" w:styleId="MediumShading2-Accent6">
    <w:name w:val="Medium Shading 2 Accent 6"/>
    <w:basedOn w:val="TableNormal"/>
    <w:uiPriority w:val="64"/>
    <w:rsid w:val="000A1914"/>
    <w:pPr>
      <w:spacing w:after="0" w:line="240" w:lineRule="auto"/>
    </w:pPr>
    <w:rPr>
      <w:rFonts w:ascii="Calibri" w:eastAsia="SimSun" w:hAnsi="Calibri"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
    <w:name w:val="شبكة فاتحة1"/>
    <w:basedOn w:val="TableNormal"/>
    <w:uiPriority w:val="62"/>
    <w:rsid w:val="000A1914"/>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تظليل فاتح1"/>
    <w:basedOn w:val="TableNormal"/>
    <w:uiPriority w:val="60"/>
    <w:rsid w:val="000A1914"/>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شبكة جدول1"/>
    <w:basedOn w:val="TableNormal"/>
    <w:next w:val="TableGrid"/>
    <w:uiPriority w:val="59"/>
    <w:rsid w:val="000A191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فاتحة - تمييز 11"/>
    <w:basedOn w:val="TableNormal"/>
    <w:next w:val="LightGrid-Accent1"/>
    <w:uiPriority w:val="62"/>
    <w:rsid w:val="000A1914"/>
    <w:pPr>
      <w:spacing w:after="0" w:line="240" w:lineRule="auto"/>
    </w:pPr>
    <w:rPr>
      <w:rFonts w:ascii="Calibri" w:eastAsia="SimSun" w:hAnsi="Calibri" w:cs="Arial"/>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katex-mathml">
    <w:name w:val="katex-mathml"/>
    <w:basedOn w:val="DefaultParagraphFont"/>
    <w:rsid w:val="000A1914"/>
  </w:style>
  <w:style w:type="character" w:customStyle="1" w:styleId="mord">
    <w:name w:val="mord"/>
    <w:basedOn w:val="DefaultParagraphFont"/>
    <w:rsid w:val="000A1914"/>
  </w:style>
  <w:style w:type="character" w:customStyle="1" w:styleId="mrel">
    <w:name w:val="mrel"/>
    <w:basedOn w:val="DefaultParagraphFont"/>
    <w:rsid w:val="000A1914"/>
  </w:style>
  <w:style w:type="character" w:customStyle="1" w:styleId="mpunct">
    <w:name w:val="mpunct"/>
    <w:basedOn w:val="DefaultParagraphFont"/>
    <w:rsid w:val="000A1914"/>
  </w:style>
  <w:style w:type="character" w:customStyle="1" w:styleId="mbin">
    <w:name w:val="mbin"/>
    <w:basedOn w:val="DefaultParagraphFont"/>
    <w:rsid w:val="000A1914"/>
  </w:style>
  <w:style w:type="table" w:customStyle="1" w:styleId="2">
    <w:name w:val="شبكة جدول2"/>
    <w:basedOn w:val="TableNormal"/>
    <w:next w:val="TableGrid"/>
    <w:uiPriority w:val="59"/>
    <w:rsid w:val="000A191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A1914"/>
    <w:pPr>
      <w:widowControl w:val="0"/>
      <w:autoSpaceDE w:val="0"/>
      <w:autoSpaceDN w:val="0"/>
    </w:pPr>
    <w:rPr>
      <w:sz w:val="22"/>
      <w:szCs w:val="22"/>
      <w:lang w:val="en-GB"/>
    </w:rPr>
  </w:style>
  <w:style w:type="character" w:styleId="CommentReference">
    <w:name w:val="annotation reference"/>
    <w:basedOn w:val="DefaultParagraphFont"/>
    <w:uiPriority w:val="99"/>
    <w:semiHidden/>
    <w:unhideWhenUsed/>
    <w:rsid w:val="000A1914"/>
    <w:rPr>
      <w:sz w:val="16"/>
      <w:szCs w:val="16"/>
    </w:rPr>
  </w:style>
  <w:style w:type="table" w:styleId="LightGrid-Accent1">
    <w:name w:val="Light Grid Accent 1"/>
    <w:basedOn w:val="TableNormal"/>
    <w:uiPriority w:val="62"/>
    <w:semiHidden/>
    <w:unhideWhenUsed/>
    <w:rsid w:val="000A19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0A1914"/>
    <w:pPr>
      <w:spacing w:after="0" w:line="240" w:lineRule="auto"/>
    </w:pPr>
    <w:rPr>
      <w:lang w:val="en-GB"/>
    </w:rPr>
  </w:style>
  <w:style w:type="table" w:customStyle="1" w:styleId="TableGrid1">
    <w:name w:val="Table Grid1"/>
    <w:basedOn w:val="TableNormal"/>
    <w:next w:val="TableGrid"/>
    <w:uiPriority w:val="59"/>
    <w:rsid w:val="0018781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413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2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A191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9"/>
    <w:qFormat/>
    <w:rsid w:val="000A1914"/>
    <w:pPr>
      <w:autoSpaceDE w:val="0"/>
      <w:autoSpaceDN w:val="0"/>
      <w:adjustRightInd w:val="0"/>
      <w:outlineLvl w:val="1"/>
    </w:pPr>
    <w:rPr>
      <w:rFonts w:ascii="Courier New" w:eastAsia="SimSun" w:hAnsi="Courier New" w:cs="Courier New"/>
      <w:b/>
      <w:bCs/>
      <w:i/>
      <w:iCs/>
      <w:color w:val="000000"/>
      <w:sz w:val="28"/>
      <w:szCs w:val="28"/>
      <w:lang w:val="en-GB" w:eastAsia="zh-CN"/>
    </w:rPr>
  </w:style>
  <w:style w:type="paragraph" w:styleId="Heading3">
    <w:name w:val="heading 3"/>
    <w:basedOn w:val="Normal"/>
    <w:next w:val="Normal"/>
    <w:link w:val="Heading3Char"/>
    <w:uiPriority w:val="99"/>
    <w:qFormat/>
    <w:rsid w:val="000A1914"/>
    <w:pPr>
      <w:autoSpaceDE w:val="0"/>
      <w:autoSpaceDN w:val="0"/>
      <w:adjustRightInd w:val="0"/>
      <w:outlineLvl w:val="2"/>
    </w:pPr>
    <w:rPr>
      <w:rFonts w:ascii="Courier New" w:eastAsia="SimSun" w:hAnsi="Courier New" w:cs="Courier New"/>
      <w:b/>
      <w:bCs/>
      <w:color w:val="000000"/>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3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uiPriority w:val="99"/>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link w:val="NormalWebChar"/>
    <w:uiPriority w:val="99"/>
    <w:unhideWhenUsed/>
    <w:rsid w:val="000E7779"/>
    <w:rPr>
      <w:sz w:val="24"/>
      <w:szCs w:val="24"/>
    </w:rPr>
  </w:style>
  <w:style w:type="paragraph" w:styleId="ListParagraph">
    <w:name w:val="List Paragraph"/>
    <w:basedOn w:val="Normal"/>
    <w:uiPriority w:val="34"/>
    <w:qFormat/>
    <w:rsid w:val="001D7223"/>
    <w:pPr>
      <w:ind w:left="720"/>
      <w:contextualSpacing/>
    </w:pPr>
  </w:style>
  <w:style w:type="paragraph" w:customStyle="1" w:styleId="EndNoteBibliographyTitle">
    <w:name w:val="EndNote Bibliography Title"/>
    <w:basedOn w:val="Normal"/>
    <w:link w:val="EndNoteBibliographyTitleChar"/>
    <w:rsid w:val="00096EE8"/>
    <w:pPr>
      <w:jc w:val="center"/>
    </w:pPr>
    <w:rPr>
      <w:noProof/>
    </w:rPr>
  </w:style>
  <w:style w:type="character" w:customStyle="1" w:styleId="EndNoteBibliographyTitleChar">
    <w:name w:val="EndNote Bibliography Title Char"/>
    <w:basedOn w:val="DefaultParagraphFont"/>
    <w:link w:val="EndNoteBibliographyTitle"/>
    <w:rsid w:val="00096EE8"/>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096EE8"/>
    <w:pPr>
      <w:jc w:val="both"/>
    </w:pPr>
    <w:rPr>
      <w:noProof/>
    </w:rPr>
  </w:style>
  <w:style w:type="character" w:customStyle="1" w:styleId="EndNoteBibliographyChar">
    <w:name w:val="EndNote Bibliography Char"/>
    <w:basedOn w:val="DefaultParagraphFont"/>
    <w:link w:val="EndNoteBibliography"/>
    <w:rsid w:val="00096EE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uiPriority w:val="99"/>
    <w:rsid w:val="000A191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9"/>
    <w:rsid w:val="000A1914"/>
    <w:rPr>
      <w:rFonts w:ascii="Courier New" w:eastAsia="SimSun" w:hAnsi="Courier New" w:cs="Courier New"/>
      <w:b/>
      <w:bCs/>
      <w:i/>
      <w:iCs/>
      <w:color w:val="000000"/>
      <w:sz w:val="28"/>
      <w:szCs w:val="28"/>
      <w:lang w:val="en-GB" w:eastAsia="zh-CN"/>
    </w:rPr>
  </w:style>
  <w:style w:type="character" w:customStyle="1" w:styleId="Heading3Char">
    <w:name w:val="Heading 3 Char"/>
    <w:basedOn w:val="DefaultParagraphFont"/>
    <w:link w:val="Heading3"/>
    <w:uiPriority w:val="99"/>
    <w:rsid w:val="000A1914"/>
    <w:rPr>
      <w:rFonts w:ascii="Courier New" w:eastAsia="SimSun" w:hAnsi="Courier New" w:cs="Courier New"/>
      <w:b/>
      <w:bCs/>
      <w:color w:val="000000"/>
      <w:sz w:val="26"/>
      <w:szCs w:val="26"/>
      <w:lang w:val="en-GB" w:eastAsia="zh-CN"/>
    </w:rPr>
  </w:style>
  <w:style w:type="character" w:customStyle="1" w:styleId="NormalWebChar">
    <w:name w:val="Normal (Web) Char"/>
    <w:basedOn w:val="DefaultParagraphFont"/>
    <w:link w:val="NormalWeb"/>
    <w:uiPriority w:val="99"/>
    <w:rsid w:val="000A1914"/>
    <w:rPr>
      <w:rFonts w:ascii="Times New Roman" w:eastAsia="Times New Roman" w:hAnsi="Times New Roman" w:cs="Times New Roman"/>
      <w:sz w:val="24"/>
      <w:szCs w:val="24"/>
    </w:rPr>
  </w:style>
  <w:style w:type="paragraph" w:styleId="NoSpacing">
    <w:name w:val="No Spacing"/>
    <w:uiPriority w:val="1"/>
    <w:qFormat/>
    <w:rsid w:val="000A1914"/>
    <w:pPr>
      <w:bidi/>
      <w:spacing w:after="0" w:line="240" w:lineRule="auto"/>
    </w:pPr>
    <w:rPr>
      <w:rFonts w:eastAsiaTheme="minorEastAsia"/>
    </w:rPr>
  </w:style>
  <w:style w:type="paragraph" w:customStyle="1" w:styleId="Default">
    <w:name w:val="Default"/>
    <w:rsid w:val="000A1914"/>
    <w:pPr>
      <w:autoSpaceDE w:val="0"/>
      <w:autoSpaceDN w:val="0"/>
      <w:adjustRightInd w:val="0"/>
      <w:spacing w:after="0" w:line="240" w:lineRule="auto"/>
    </w:pPr>
    <w:rPr>
      <w:rFonts w:ascii="JJHKK A+ Gulliver" w:eastAsiaTheme="minorEastAsia" w:hAnsi="JJHKK A+ Gulliver" w:cs="JJHKK A+ Gulliver"/>
      <w:color w:val="000000"/>
      <w:sz w:val="24"/>
      <w:szCs w:val="24"/>
    </w:rPr>
  </w:style>
  <w:style w:type="character" w:customStyle="1" w:styleId="Char1">
    <w:name w:val="نص في بالون Char1"/>
    <w:basedOn w:val="DefaultParagraphFont"/>
    <w:uiPriority w:val="99"/>
    <w:semiHidden/>
    <w:rsid w:val="000A1914"/>
    <w:rPr>
      <w:rFonts w:ascii="Tahoma" w:hAnsi="Tahoma" w:cs="Tahoma"/>
      <w:sz w:val="18"/>
      <w:szCs w:val="18"/>
      <w:lang w:val="en-GB"/>
    </w:rPr>
  </w:style>
  <w:style w:type="character" w:styleId="Strong">
    <w:name w:val="Strong"/>
    <w:basedOn w:val="DefaultParagraphFont"/>
    <w:uiPriority w:val="22"/>
    <w:qFormat/>
    <w:rsid w:val="000A1914"/>
    <w:rPr>
      <w:b/>
      <w:bCs/>
    </w:rPr>
  </w:style>
  <w:style w:type="paragraph" w:styleId="Caption">
    <w:name w:val="caption"/>
    <w:basedOn w:val="Normal"/>
    <w:next w:val="Normal"/>
    <w:uiPriority w:val="35"/>
    <w:unhideWhenUsed/>
    <w:qFormat/>
    <w:rsid w:val="000A1914"/>
    <w:pPr>
      <w:spacing w:after="200"/>
    </w:pPr>
    <w:rPr>
      <w:rFonts w:asciiTheme="minorHAnsi" w:eastAsiaTheme="minorEastAsia" w:hAnsiTheme="minorHAnsi" w:cstheme="minorBidi"/>
      <w:b/>
      <w:bCs/>
      <w:color w:val="4F81BD" w:themeColor="accent1"/>
      <w:sz w:val="18"/>
      <w:szCs w:val="18"/>
      <w:lang w:val="en-GB"/>
    </w:rPr>
  </w:style>
  <w:style w:type="character" w:customStyle="1" w:styleId="DocumentMapChar">
    <w:name w:val="Document Map Char"/>
    <w:basedOn w:val="DefaultParagraphFont"/>
    <w:link w:val="DocumentMap"/>
    <w:uiPriority w:val="99"/>
    <w:semiHidden/>
    <w:rsid w:val="000A1914"/>
    <w:rPr>
      <w:rFonts w:ascii="Tahoma" w:hAnsi="Tahoma" w:cs="Tahoma"/>
      <w:sz w:val="16"/>
      <w:szCs w:val="16"/>
    </w:rPr>
  </w:style>
  <w:style w:type="paragraph" w:styleId="DocumentMap">
    <w:name w:val="Document Map"/>
    <w:basedOn w:val="Normal"/>
    <w:link w:val="DocumentMapChar"/>
    <w:uiPriority w:val="99"/>
    <w:semiHidden/>
    <w:unhideWhenUsed/>
    <w:rsid w:val="000A1914"/>
    <w:rPr>
      <w:rFonts w:ascii="Tahoma" w:eastAsiaTheme="minorHAnsi" w:hAnsi="Tahoma" w:cs="Tahoma"/>
      <w:sz w:val="16"/>
      <w:szCs w:val="16"/>
    </w:rPr>
  </w:style>
  <w:style w:type="character" w:customStyle="1" w:styleId="Char10">
    <w:name w:val="خريطة المستند Char1"/>
    <w:basedOn w:val="DefaultParagraphFont"/>
    <w:uiPriority w:val="99"/>
    <w:semiHidden/>
    <w:rsid w:val="000A1914"/>
    <w:rPr>
      <w:rFonts w:ascii="Tahoma" w:eastAsia="Times New Roman" w:hAnsi="Tahoma" w:cs="Tahoma"/>
      <w:sz w:val="16"/>
      <w:szCs w:val="16"/>
    </w:rPr>
  </w:style>
  <w:style w:type="character" w:customStyle="1" w:styleId="thread-date">
    <w:name w:val="thread-date"/>
    <w:basedOn w:val="DefaultParagraphFont"/>
    <w:rsid w:val="000A1914"/>
  </w:style>
  <w:style w:type="character" w:customStyle="1" w:styleId="short">
    <w:name w:val="short"/>
    <w:basedOn w:val="DefaultParagraphFont"/>
    <w:rsid w:val="000A1914"/>
  </w:style>
  <w:style w:type="character" w:customStyle="1" w:styleId="ampm">
    <w:name w:val="ampm"/>
    <w:basedOn w:val="DefaultParagraphFont"/>
    <w:rsid w:val="000A1914"/>
  </w:style>
  <w:style w:type="character" w:customStyle="1" w:styleId="texhtml">
    <w:name w:val="texhtml"/>
    <w:basedOn w:val="DefaultParagraphFont"/>
    <w:rsid w:val="000A1914"/>
    <w:rPr>
      <w:rFonts w:ascii="Times New Roman" w:hAnsi="Times New Roman" w:cs="Times New Roman" w:hint="default"/>
      <w:sz w:val="28"/>
      <w:szCs w:val="28"/>
    </w:rPr>
  </w:style>
  <w:style w:type="character" w:customStyle="1" w:styleId="mwe-math-mathml-inline">
    <w:name w:val="mwe-math-mathml-inline"/>
    <w:basedOn w:val="DefaultParagraphFont"/>
    <w:rsid w:val="000A1914"/>
    <w:rPr>
      <w:sz w:val="28"/>
      <w:szCs w:val="28"/>
    </w:rPr>
  </w:style>
  <w:style w:type="character" w:customStyle="1" w:styleId="mw-headline">
    <w:name w:val="mw-headline"/>
    <w:basedOn w:val="DefaultParagraphFont"/>
    <w:rsid w:val="000A1914"/>
  </w:style>
  <w:style w:type="character" w:customStyle="1" w:styleId="mw-editsection1">
    <w:name w:val="mw-editsection1"/>
    <w:basedOn w:val="DefaultParagraphFont"/>
    <w:rsid w:val="000A1914"/>
  </w:style>
  <w:style w:type="character" w:customStyle="1" w:styleId="mw-editsection-bracket">
    <w:name w:val="mw-editsection-bracket"/>
    <w:basedOn w:val="DefaultParagraphFont"/>
    <w:rsid w:val="000A1914"/>
  </w:style>
  <w:style w:type="paragraph" w:customStyle="1" w:styleId="Pa31">
    <w:name w:val="Pa31"/>
    <w:basedOn w:val="Normal"/>
    <w:next w:val="Normal"/>
    <w:uiPriority w:val="99"/>
    <w:rsid w:val="000A1914"/>
    <w:pPr>
      <w:autoSpaceDE w:val="0"/>
      <w:autoSpaceDN w:val="0"/>
      <w:adjustRightInd w:val="0"/>
      <w:spacing w:line="201" w:lineRule="atLeast"/>
    </w:pPr>
    <w:rPr>
      <w:rFonts w:ascii="Myriad Pro" w:eastAsiaTheme="minorEastAsia" w:hAnsi="Myriad Pro" w:cstheme="minorBidi"/>
      <w:sz w:val="24"/>
      <w:szCs w:val="24"/>
      <w:lang w:val="en-GB"/>
    </w:rPr>
  </w:style>
  <w:style w:type="paragraph" w:customStyle="1" w:styleId="Pa2">
    <w:name w:val="Pa2"/>
    <w:basedOn w:val="Default"/>
    <w:next w:val="Default"/>
    <w:uiPriority w:val="99"/>
    <w:rsid w:val="000A1914"/>
    <w:pPr>
      <w:spacing w:line="171" w:lineRule="atLeast"/>
    </w:pPr>
    <w:rPr>
      <w:rFonts w:ascii="Poppins" w:eastAsiaTheme="minorHAnsi" w:hAnsi="Poppins" w:cs="Times New Roman"/>
      <w:color w:val="auto"/>
    </w:rPr>
  </w:style>
  <w:style w:type="paragraph" w:customStyle="1" w:styleId="Pa1">
    <w:name w:val="Pa1"/>
    <w:basedOn w:val="Default"/>
    <w:next w:val="Default"/>
    <w:uiPriority w:val="99"/>
    <w:rsid w:val="000A1914"/>
    <w:pPr>
      <w:spacing w:line="171" w:lineRule="atLeast"/>
    </w:pPr>
    <w:rPr>
      <w:rFonts w:ascii="Poppins" w:eastAsiaTheme="minorHAnsi" w:hAnsi="Poppins" w:cs="Times New Roman"/>
      <w:color w:val="auto"/>
    </w:rPr>
  </w:style>
  <w:style w:type="character" w:customStyle="1" w:styleId="CommentTextChar">
    <w:name w:val="Comment Text Char"/>
    <w:basedOn w:val="DefaultParagraphFont"/>
    <w:link w:val="CommentText"/>
    <w:uiPriority w:val="99"/>
    <w:semiHidden/>
    <w:rsid w:val="000A1914"/>
    <w:rPr>
      <w:sz w:val="20"/>
      <w:szCs w:val="20"/>
    </w:rPr>
  </w:style>
  <w:style w:type="paragraph" w:styleId="CommentText">
    <w:name w:val="annotation text"/>
    <w:basedOn w:val="Normal"/>
    <w:link w:val="CommentTextChar"/>
    <w:uiPriority w:val="99"/>
    <w:semiHidden/>
    <w:unhideWhenUsed/>
    <w:rsid w:val="000A1914"/>
    <w:pPr>
      <w:spacing w:after="200"/>
    </w:pPr>
    <w:rPr>
      <w:rFonts w:asciiTheme="minorHAnsi" w:eastAsiaTheme="minorHAnsi" w:hAnsiTheme="minorHAnsi" w:cstheme="minorBidi"/>
    </w:rPr>
  </w:style>
  <w:style w:type="character" w:customStyle="1" w:styleId="Char11">
    <w:name w:val="نص تعليق Char1"/>
    <w:basedOn w:val="DefaultParagraphFont"/>
    <w:uiPriority w:val="99"/>
    <w:semiHidden/>
    <w:rsid w:val="000A191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0A1914"/>
    <w:rPr>
      <w:b/>
      <w:bCs/>
      <w:sz w:val="20"/>
      <w:szCs w:val="20"/>
    </w:rPr>
  </w:style>
  <w:style w:type="paragraph" w:styleId="CommentSubject">
    <w:name w:val="annotation subject"/>
    <w:basedOn w:val="CommentText"/>
    <w:next w:val="CommentText"/>
    <w:link w:val="CommentSubjectChar"/>
    <w:uiPriority w:val="99"/>
    <w:semiHidden/>
    <w:unhideWhenUsed/>
    <w:rsid w:val="000A1914"/>
    <w:rPr>
      <w:b/>
      <w:bCs/>
    </w:rPr>
  </w:style>
  <w:style w:type="character" w:customStyle="1" w:styleId="Char12">
    <w:name w:val="موضوع تعليق Char1"/>
    <w:basedOn w:val="Char11"/>
    <w:uiPriority w:val="99"/>
    <w:semiHidden/>
    <w:rsid w:val="000A1914"/>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0A1914"/>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
    <w:name w:val="بلا قائمة1"/>
    <w:next w:val="NoList"/>
    <w:uiPriority w:val="99"/>
    <w:semiHidden/>
    <w:unhideWhenUsed/>
    <w:rsid w:val="000A1914"/>
  </w:style>
  <w:style w:type="character" w:customStyle="1" w:styleId="Char13">
    <w:name w:val="خريطة مستند Char1"/>
    <w:basedOn w:val="DefaultParagraphFont"/>
    <w:uiPriority w:val="99"/>
    <w:semiHidden/>
    <w:rsid w:val="000A1914"/>
    <w:rPr>
      <w:rFonts w:ascii="Tahoma" w:hAnsi="Tahoma" w:cs="Tahoma"/>
      <w:sz w:val="16"/>
      <w:szCs w:val="16"/>
    </w:rPr>
  </w:style>
  <w:style w:type="table" w:styleId="MediumShading2-Accent6">
    <w:name w:val="Medium Shading 2 Accent 6"/>
    <w:basedOn w:val="TableNormal"/>
    <w:uiPriority w:val="64"/>
    <w:rsid w:val="000A1914"/>
    <w:pPr>
      <w:spacing w:after="0" w:line="240" w:lineRule="auto"/>
    </w:pPr>
    <w:rPr>
      <w:rFonts w:ascii="Calibri" w:eastAsia="SimSun" w:hAnsi="Calibri"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
    <w:name w:val="شبكة فاتحة1"/>
    <w:basedOn w:val="TableNormal"/>
    <w:uiPriority w:val="62"/>
    <w:rsid w:val="000A1914"/>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تظليل فاتح1"/>
    <w:basedOn w:val="TableNormal"/>
    <w:uiPriority w:val="60"/>
    <w:rsid w:val="000A1914"/>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شبكة جدول1"/>
    <w:basedOn w:val="TableNormal"/>
    <w:next w:val="TableGrid"/>
    <w:uiPriority w:val="59"/>
    <w:rsid w:val="000A191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فاتحة - تمييز 11"/>
    <w:basedOn w:val="TableNormal"/>
    <w:next w:val="LightGrid-Accent1"/>
    <w:uiPriority w:val="62"/>
    <w:rsid w:val="000A1914"/>
    <w:pPr>
      <w:spacing w:after="0" w:line="240" w:lineRule="auto"/>
    </w:pPr>
    <w:rPr>
      <w:rFonts w:ascii="Calibri" w:eastAsia="SimSun" w:hAnsi="Calibri" w:cs="Arial"/>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katex-mathml">
    <w:name w:val="katex-mathml"/>
    <w:basedOn w:val="DefaultParagraphFont"/>
    <w:rsid w:val="000A1914"/>
  </w:style>
  <w:style w:type="character" w:customStyle="1" w:styleId="mord">
    <w:name w:val="mord"/>
    <w:basedOn w:val="DefaultParagraphFont"/>
    <w:rsid w:val="000A1914"/>
  </w:style>
  <w:style w:type="character" w:customStyle="1" w:styleId="mrel">
    <w:name w:val="mrel"/>
    <w:basedOn w:val="DefaultParagraphFont"/>
    <w:rsid w:val="000A1914"/>
  </w:style>
  <w:style w:type="character" w:customStyle="1" w:styleId="mpunct">
    <w:name w:val="mpunct"/>
    <w:basedOn w:val="DefaultParagraphFont"/>
    <w:rsid w:val="000A1914"/>
  </w:style>
  <w:style w:type="character" w:customStyle="1" w:styleId="mbin">
    <w:name w:val="mbin"/>
    <w:basedOn w:val="DefaultParagraphFont"/>
    <w:rsid w:val="000A1914"/>
  </w:style>
  <w:style w:type="table" w:customStyle="1" w:styleId="2">
    <w:name w:val="شبكة جدول2"/>
    <w:basedOn w:val="TableNormal"/>
    <w:next w:val="TableGrid"/>
    <w:uiPriority w:val="59"/>
    <w:rsid w:val="000A191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A1914"/>
    <w:pPr>
      <w:widowControl w:val="0"/>
      <w:autoSpaceDE w:val="0"/>
      <w:autoSpaceDN w:val="0"/>
    </w:pPr>
    <w:rPr>
      <w:sz w:val="22"/>
      <w:szCs w:val="22"/>
      <w:lang w:val="en-GB"/>
    </w:rPr>
  </w:style>
  <w:style w:type="character" w:styleId="CommentReference">
    <w:name w:val="annotation reference"/>
    <w:basedOn w:val="DefaultParagraphFont"/>
    <w:uiPriority w:val="99"/>
    <w:semiHidden/>
    <w:unhideWhenUsed/>
    <w:rsid w:val="000A1914"/>
    <w:rPr>
      <w:sz w:val="16"/>
      <w:szCs w:val="16"/>
    </w:rPr>
  </w:style>
  <w:style w:type="table" w:styleId="LightGrid-Accent1">
    <w:name w:val="Light Grid Accent 1"/>
    <w:basedOn w:val="TableNormal"/>
    <w:uiPriority w:val="62"/>
    <w:semiHidden/>
    <w:unhideWhenUsed/>
    <w:rsid w:val="000A19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0A1914"/>
    <w:pPr>
      <w:spacing w:after="0" w:line="240" w:lineRule="auto"/>
    </w:pPr>
    <w:rPr>
      <w:lang w:val="en-GB"/>
    </w:rPr>
  </w:style>
  <w:style w:type="table" w:customStyle="1" w:styleId="TableGrid1">
    <w:name w:val="Table Grid1"/>
    <w:basedOn w:val="TableNormal"/>
    <w:next w:val="TableGrid"/>
    <w:uiPriority w:val="59"/>
    <w:rsid w:val="0018781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413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5445">
      <w:bodyDiv w:val="1"/>
      <w:marLeft w:val="0"/>
      <w:marRight w:val="0"/>
      <w:marTop w:val="0"/>
      <w:marBottom w:val="0"/>
      <w:divBdr>
        <w:top w:val="none" w:sz="0" w:space="0" w:color="auto"/>
        <w:left w:val="none" w:sz="0" w:space="0" w:color="auto"/>
        <w:bottom w:val="none" w:sz="0" w:space="0" w:color="auto"/>
        <w:right w:val="none" w:sz="0" w:space="0" w:color="auto"/>
      </w:divBdr>
      <w:divsChild>
        <w:div w:id="433405059">
          <w:marLeft w:val="0"/>
          <w:marRight w:val="0"/>
          <w:marTop w:val="0"/>
          <w:marBottom w:val="0"/>
          <w:divBdr>
            <w:top w:val="none" w:sz="0" w:space="0" w:color="auto"/>
            <w:left w:val="none" w:sz="0" w:space="0" w:color="auto"/>
            <w:bottom w:val="none" w:sz="0" w:space="0" w:color="auto"/>
            <w:right w:val="none" w:sz="0" w:space="0" w:color="auto"/>
          </w:divBdr>
        </w:div>
      </w:divsChild>
    </w:div>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xxxx/er.2019.40.2.123" TargetMode="External"/><Relationship Id="rId18" Type="http://schemas.openxmlformats.org/officeDocument/2006/relationships/hyperlink" Target="https://doi.org/10.xxxx/tr.2020.13.1.24" TargetMode="External"/><Relationship Id="rId3" Type="http://schemas.openxmlformats.org/officeDocument/2006/relationships/styles" Target="styles.xml"/><Relationship Id="rId21" Type="http://schemas.openxmlformats.org/officeDocument/2006/relationships/hyperlink" Target="https://doi.org/10.3389/fendo.2022.992883" TargetMode="External"/><Relationship Id="rId7" Type="http://schemas.openxmlformats.org/officeDocument/2006/relationships/footnotes" Target="footnotes.xml"/><Relationship Id="rId12" Type="http://schemas.openxmlformats.org/officeDocument/2006/relationships/hyperlink" Target="https://doi.org/10.xxxx/cc.2018.64.1.29" TargetMode="External"/><Relationship Id="rId17" Type="http://schemas.openxmlformats.org/officeDocument/2006/relationships/hyperlink" Target="https://doi.org/10.xxxx/ej.2021.68.3.3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xxxx/jid.2018.217.2.221" TargetMode="External"/><Relationship Id="rId20" Type="http://schemas.openxmlformats.org/officeDocument/2006/relationships/hyperlink" Target="https://doi.org/10.xxxx/thyroid.2016.26.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xxxx/tr.2020.13.1.1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xxxx/cm.2021.9.2.105" TargetMode="External"/><Relationship Id="rId23" Type="http://schemas.openxmlformats.org/officeDocument/2006/relationships/footer" Target="footer1.xml"/><Relationship Id="rId10" Type="http://schemas.openxmlformats.org/officeDocument/2006/relationships/hyperlink" Target="https://doi.org/10.xxxx/con.2020.32.7.439" TargetMode="External"/><Relationship Id="rId19" Type="http://schemas.openxmlformats.org/officeDocument/2006/relationships/hyperlink" Target="https://doi.org/10.xxxx/thyroid.2004.14.3.204" TargetMode="External"/><Relationship Id="rId4" Type="http://schemas.microsoft.com/office/2007/relationships/stylesWithEffects" Target="stylesWithEffects.xml"/><Relationship Id="rId9" Type="http://schemas.openxmlformats.org/officeDocument/2006/relationships/hyperlink" Target="mailto:Alaasabbood@uomustansiriyah.edu.iq" TargetMode="External"/><Relationship Id="rId14" Type="http://schemas.openxmlformats.org/officeDocument/2006/relationships/hyperlink" Target="https://doi.org/10.xxxx/jnt.2021.11.3.113"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D89F1-48B0-410E-A5C5-343D4B0B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2746</Words>
  <Characters>15657</Characters>
  <Application>Microsoft Office Word</Application>
  <DocSecurity>0</DocSecurity>
  <Lines>130</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29</cp:revision>
  <cp:lastPrinted>2024-05-21T15:22:00Z</cp:lastPrinted>
  <dcterms:created xsi:type="dcterms:W3CDTF">2025-05-19T09:14:00Z</dcterms:created>
  <dcterms:modified xsi:type="dcterms:W3CDTF">2025-08-04T00:55:00Z</dcterms:modified>
</cp:coreProperties>
</file>